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19B2" w14:textId="040DE0FB" w:rsidR="004136B7" w:rsidRPr="005655D4" w:rsidRDefault="006900B3" w:rsidP="004136B7">
      <w:pPr>
        <w:pStyle w:val="berschrift3"/>
      </w:pPr>
      <w:r>
        <w:t xml:space="preserve">EMO Hannover 2023: </w:t>
      </w:r>
      <w:r w:rsidR="004136B7" w:rsidRPr="005655D4">
        <w:t xml:space="preserve">Halle </w:t>
      </w:r>
      <w:r>
        <w:t>3</w:t>
      </w:r>
      <w:r w:rsidR="004136B7" w:rsidRPr="005655D4">
        <w:t xml:space="preserve"> / Stand </w:t>
      </w:r>
      <w:r>
        <w:t>E20</w:t>
      </w:r>
    </w:p>
    <w:p w14:paraId="2590F8C9" w14:textId="4DBF9971" w:rsidR="007759D7" w:rsidRDefault="00961B91" w:rsidP="005521E0">
      <w:pPr>
        <w:pStyle w:val="berschrift1"/>
      </w:pPr>
      <w:r>
        <w:t xml:space="preserve">Bandsägeautomat HBE560A Performance für </w:t>
      </w:r>
      <w:r w:rsidR="004700C9">
        <w:t>anspruchsvolle Sägeaufgaben</w:t>
      </w:r>
    </w:p>
    <w:p w14:paraId="79882CCE" w14:textId="74ACE5E8" w:rsidR="005521E0" w:rsidRDefault="00961B91" w:rsidP="00961B91">
      <w:pPr>
        <w:pStyle w:val="berschrift2"/>
      </w:pPr>
      <w:r>
        <w:t xml:space="preserve">Mit der HBE Performance Baureihe bietet </w:t>
      </w:r>
      <w:r w:rsidR="00052B2B">
        <w:t xml:space="preserve">BEHRINGER </w:t>
      </w:r>
      <w:r>
        <w:t>eine besonders leistungsfähige und robuste Sägelinie, die besonders im rauen Umfeld überzeugt</w:t>
      </w:r>
    </w:p>
    <w:p w14:paraId="22E1164C" w14:textId="5682D1B6" w:rsidR="00961B91" w:rsidRDefault="00961B91" w:rsidP="005521E0">
      <w:r w:rsidRPr="00961B91">
        <w:t>Edelstahl und Werkzeugstahl. Vergütete Stähle, Sonderlegierungen und Aluminium. In unterschiedlich</w:t>
      </w:r>
      <w:r w:rsidR="00CB5CD8">
        <w:t>en</w:t>
      </w:r>
      <w:r w:rsidRPr="00961B91">
        <w:t xml:space="preserve"> Stärken, Formen und </w:t>
      </w:r>
      <w:r w:rsidR="001E7489">
        <w:t>Qualitäten</w:t>
      </w:r>
      <w:r>
        <w:t>. Die HBE560A Performance ist für den anspruchsvollen Einsatz im Stahlhandel, in der Industrie und in der Metallerzeugung konzipiert.</w:t>
      </w:r>
      <w:r w:rsidR="005856F3">
        <w:t xml:space="preserve"> Mit einem Schnittbereich von 560 x</w:t>
      </w:r>
      <w:r w:rsidR="00DC34D4">
        <w:t> </w:t>
      </w:r>
      <w:r w:rsidR="005856F3">
        <w:t>560 mm</w:t>
      </w:r>
      <w:r w:rsidR="009466F2">
        <w:t xml:space="preserve"> (optional 610 x 610 mm)</w:t>
      </w:r>
      <w:r w:rsidR="005856F3">
        <w:t xml:space="preserve"> deckt sie ein breites Anwendungsfeld ab.</w:t>
      </w:r>
      <w:r>
        <w:t xml:space="preserve"> </w:t>
      </w:r>
      <w:r w:rsidR="005856F3" w:rsidRPr="005856F3">
        <w:t xml:space="preserve">Ihr schwerer, robuster Aufbau, </w:t>
      </w:r>
      <w:r w:rsidR="005856F3">
        <w:t xml:space="preserve">der </w:t>
      </w:r>
      <w:r w:rsidR="005856F3" w:rsidRPr="005856F3">
        <w:t xml:space="preserve">Einsatz moderner </w:t>
      </w:r>
      <w:proofErr w:type="spellStart"/>
      <w:r w:rsidR="005856F3" w:rsidRPr="005856F3">
        <w:t>Servo</w:t>
      </w:r>
      <w:proofErr w:type="spellEnd"/>
      <w:r w:rsidR="005856F3" w:rsidRPr="005856F3">
        <w:t>-Technologie und ihr präzises Führungssystem bieten die Voraussetzungen zum wirtschaftlichen Einsatz von Hart</w:t>
      </w:r>
      <w:r w:rsidR="00DC34D4">
        <w:t>metall</w:t>
      </w:r>
      <w:r w:rsidR="005856F3" w:rsidRPr="005856F3">
        <w:t>- und Bi-Metall-Sägebändern.</w:t>
      </w:r>
      <w:r w:rsidR="005856F3">
        <w:t xml:space="preserve"> Bandführende Teile sowie der gesamte Sägerahmen sind aus </w:t>
      </w:r>
      <w:r w:rsidR="005856F3" w:rsidRPr="00052B2B">
        <w:t>Grauguss gefertigt und sorgen für Schwingungsdämpfung direkt</w:t>
      </w:r>
      <w:r w:rsidR="005856F3">
        <w:t xml:space="preserve"> an der Schnittstelle. Dadurch lässt sich die Standzeit der eingesetzten Sägebänder spürbar erhöhen.</w:t>
      </w:r>
    </w:p>
    <w:p w14:paraId="0728F234" w14:textId="52AB7885" w:rsidR="005856F3" w:rsidRDefault="000E1007" w:rsidP="005856F3">
      <w:pPr>
        <w:pStyle w:val="berschrift2"/>
      </w:pPr>
      <w:r>
        <w:t>Neue Steuerung BehrCtrl10</w:t>
      </w:r>
    </w:p>
    <w:p w14:paraId="41C7F05F" w14:textId="06CABF0F" w:rsidR="005856F3" w:rsidRDefault="000E1007" w:rsidP="000E1007">
      <w:r>
        <w:t>Die neue Maschinensteuerung</w:t>
      </w:r>
      <w:r w:rsidR="00045873">
        <w:t xml:space="preserve"> BehrCtrl10</w:t>
      </w:r>
      <w:r>
        <w:t xml:space="preserve"> bietet durch ihr innovatives Bedienkonzept maximalen Komfort und Unterstützt den Anwender bei der Auswahl der optimalen Leistungswerte. Die überarbeitete Au</w:t>
      </w:r>
      <w:r w:rsidR="00767332">
        <w:t>t</w:t>
      </w:r>
      <w:r>
        <w:t xml:space="preserve">o-Feed-Control (AFC) mit umfangreicher Material- und Werkzeugdatenbank stellt alle erforderlichen Technologieparameter für Schnittgeschwindigkeit und Sägevorschub selbstständig ein. </w:t>
      </w:r>
      <w:r>
        <w:rPr>
          <w:rStyle w:val="bcx9"/>
        </w:rPr>
        <w:t>Diese bietet zum einen eine hohe Produktivität und hilft gleichzeitig durch optimale Werkzeugstandzeiten die Betriebskosten zu senken.</w:t>
      </w:r>
    </w:p>
    <w:p w14:paraId="2D4DAB65" w14:textId="4E368DA4" w:rsidR="005521E0" w:rsidRDefault="005521E0" w:rsidP="005521E0">
      <w:r>
        <w:t xml:space="preserve">Das </w:t>
      </w:r>
      <w:proofErr w:type="spellStart"/>
      <w:r>
        <w:t>Servo</w:t>
      </w:r>
      <w:proofErr w:type="spellEnd"/>
      <w:r>
        <w:t>-Vorschubsystem der HBE560A</w:t>
      </w:r>
      <w:r w:rsidR="003507B4">
        <w:t> </w:t>
      </w:r>
      <w:r>
        <w:t xml:space="preserve">Performance spielt gerade beim Sägen großer </w:t>
      </w:r>
      <w:r w:rsidRPr="00F204DE">
        <w:t>Durchmesser mit kleinen Vorschubgeschwindigkeiten sein</w:t>
      </w:r>
      <w:r w:rsidR="000D0E1A">
        <w:t>e</w:t>
      </w:r>
      <w:r w:rsidRPr="00F204DE">
        <w:t xml:space="preserve"> Stärken gegenüber hydraulischen Systemen aus. Die </w:t>
      </w:r>
      <w:r w:rsidR="000D0E1A">
        <w:t xml:space="preserve">gleichmäßige Vorschubbewegung, </w:t>
      </w:r>
      <w:r w:rsidR="00A52466">
        <w:t xml:space="preserve">erzeugt </w:t>
      </w:r>
      <w:r w:rsidRPr="00F204DE">
        <w:t xml:space="preserve">durch den Einsatz von Kugelrollspindel und </w:t>
      </w:r>
      <w:proofErr w:type="spellStart"/>
      <w:r w:rsidRPr="00F204DE">
        <w:t>Servo</w:t>
      </w:r>
      <w:proofErr w:type="spellEnd"/>
      <w:r w:rsidRPr="00F204DE">
        <w:t>-Motor</w:t>
      </w:r>
      <w:r w:rsidR="00A52466">
        <w:t xml:space="preserve">, </w:t>
      </w:r>
      <w:r w:rsidR="00930414" w:rsidRPr="00F204DE">
        <w:t>bewirkt</w:t>
      </w:r>
      <w:r w:rsidRPr="00F204DE">
        <w:t xml:space="preserve"> einen konstanten Spanabtrag und </w:t>
      </w:r>
      <w:r w:rsidR="00052B2B" w:rsidRPr="00F204DE">
        <w:t>trägt</w:t>
      </w:r>
      <w:r w:rsidRPr="00F204DE">
        <w:t xml:space="preserve"> zu einem ruhigen und stabilen S</w:t>
      </w:r>
      <w:r w:rsidR="00A52466">
        <w:t>äge</w:t>
      </w:r>
      <w:r w:rsidRPr="00F204DE">
        <w:t>prozess bei. Die</w:t>
      </w:r>
      <w:r>
        <w:t xml:space="preserve"> Folge sind hohe Schnittleistungen und Bandstandzeiten der</w:t>
      </w:r>
      <w:r w:rsidR="00F204DE">
        <w:t xml:space="preserve"> Sägemaschine</w:t>
      </w:r>
      <w:r>
        <w:t>.</w:t>
      </w:r>
    </w:p>
    <w:p w14:paraId="6A72191C" w14:textId="04EE7FC5" w:rsidR="005856F3" w:rsidRDefault="005856F3" w:rsidP="005856F3">
      <w:pPr>
        <w:pStyle w:val="berschrift2"/>
      </w:pPr>
      <w:r>
        <w:t>Prozesssicher und bewährt</w:t>
      </w:r>
    </w:p>
    <w:p w14:paraId="363A47E6" w14:textId="2FD6361E" w:rsidR="005856F3" w:rsidRDefault="005856F3" w:rsidP="005856F3">
      <w:r>
        <w:t>Unterhalb des trichterförmigen Maschinenständers der HBE560A</w:t>
      </w:r>
      <w:r w:rsidR="00A52466">
        <w:t> </w:t>
      </w:r>
      <w:r>
        <w:t xml:space="preserve">Performance ist der breit ausgeführte Späneförderer mit integriertem Kühlmittelbehälter angeordnet. Anfallende Späne und Kühlmittel werden so prozesssicher in den </w:t>
      </w:r>
      <w:r>
        <w:lastRenderedPageBreak/>
        <w:t>Förderer geleitet. Die Auswurfhöhe von 800 mm ermöglicht den Einsatz großer Spänebehälter. Zu Reinigungszwecken kann der Förderer einfach aus der Maschine herausgefahren werden.</w:t>
      </w:r>
    </w:p>
    <w:p w14:paraId="74E51EA3" w14:textId="7AD47965" w:rsidR="005856F3" w:rsidRDefault="005856F3" w:rsidP="005856F3">
      <w:r>
        <w:t>Auch die Sägebandreinigung der HBE560A</w:t>
      </w:r>
      <w:r w:rsidR="00A52466">
        <w:t> </w:t>
      </w:r>
      <w:r>
        <w:t>Performance wurde konsequent weitergedacht. Eine elektrisch angetriebene Bürste reinigt ans Sägeband anhaftende Späne effektiv ab. Die Schnellwechseleinrichtung ermöglicht es, die Bürsten bei Verschleiß ohne viel Zeitverlust werkzeuglos auszutauschen.</w:t>
      </w:r>
    </w:p>
    <w:p w14:paraId="14D55C7D" w14:textId="77777777" w:rsidR="005856F3" w:rsidRDefault="005856F3" w:rsidP="005856F3">
      <w:pPr>
        <w:pStyle w:val="berschrift2"/>
      </w:pPr>
      <w:r>
        <w:t>Funktionalität und Design</w:t>
      </w:r>
    </w:p>
    <w:p w14:paraId="5525DB8D" w14:textId="53F04A70" w:rsidR="00781860" w:rsidRDefault="005856F3" w:rsidP="005521E0">
      <w:r>
        <w:t>Durch die Vollverkleidung der Maschine werden nicht nur aktuelle CE-Richtlinien erfüllt, sondern auch den wachsenden Anforderungen nach Bedienerfreundlichkeit und Arbeits- sowie Umweltschutz Rechnung getragen. Die Vorteile liegen auf der Hand: Sauberhaltung des Arbeitsumfeldes</w:t>
      </w:r>
      <w:r w:rsidR="00A52466">
        <w:t xml:space="preserve"> und</w:t>
      </w:r>
      <w:r>
        <w:t xml:space="preserve"> Geräuschminderung bei gleichzeitig </w:t>
      </w:r>
      <w:r w:rsidR="00A52466">
        <w:t>guter</w:t>
      </w:r>
      <w:r>
        <w:t xml:space="preserve"> Einsicht in die Maschine. Das wartungsfreundliche Konzept ermöglicht einen einfachen Sägebandwechsel ohne Werkzeug und gute Zugänglichkeit für Instandhaltungs- oder Reinigungsarbeiten.</w:t>
      </w:r>
    </w:p>
    <w:p w14:paraId="47683231" w14:textId="035A5C9E" w:rsidR="00C2694A" w:rsidRDefault="00C2694A" w:rsidP="005521E0"/>
    <w:p w14:paraId="3C9FD292" w14:textId="3A68C9C2" w:rsidR="00C2694A" w:rsidRDefault="00C2694A" w:rsidP="00C2694A">
      <w:pPr>
        <w:pStyle w:val="berschrift1"/>
      </w:pPr>
      <w:r>
        <w:t>Bildunterschriften: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045873" w14:paraId="4F18797C" w14:textId="77777777" w:rsidTr="00FA7928">
        <w:tc>
          <w:tcPr>
            <w:tcW w:w="3821" w:type="dxa"/>
          </w:tcPr>
          <w:p w14:paraId="4474F868" w14:textId="1D9BEB55" w:rsidR="00C2694A" w:rsidRDefault="00045873" w:rsidP="00C2694A">
            <w:r>
              <w:rPr>
                <w:noProof/>
              </w:rPr>
              <w:drawing>
                <wp:inline distT="0" distB="0" distL="0" distR="0" wp14:anchorId="019FD487" wp14:editId="2A533294">
                  <wp:extent cx="2268000" cy="1276098"/>
                  <wp:effectExtent l="0" t="0" r="0" b="635"/>
                  <wp:docPr id="331597530" name="Grafik 1" descr="Ein Bild, das Maschine, r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97530" name="Grafik 1" descr="Ein Bild, das Maschine, rot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127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</w:tcPr>
          <w:p w14:paraId="566A8260" w14:textId="26CED855" w:rsidR="00C2694A" w:rsidRDefault="00C2694A" w:rsidP="00FA792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EC85FE" wp14:editId="36799E85">
                  <wp:simplePos x="3220872" y="68580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160000" cy="1416009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41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5873" w14:paraId="65431CD3" w14:textId="77777777" w:rsidTr="00C2694A">
        <w:tc>
          <w:tcPr>
            <w:tcW w:w="3821" w:type="dxa"/>
          </w:tcPr>
          <w:p w14:paraId="5B6740F2" w14:textId="77777777" w:rsidR="00C2694A" w:rsidRDefault="00C2694A" w:rsidP="006F2B6C">
            <w:pPr>
              <w:jc w:val="left"/>
            </w:pPr>
            <w:r>
              <w:t xml:space="preserve">Hochleistungs-Bandsägeautomat HBE560A Performance </w:t>
            </w:r>
            <w:r w:rsidR="006F2B6C">
              <w:t>für anspruchsvolle Anwendungen.</w:t>
            </w:r>
          </w:p>
          <w:p w14:paraId="78F9775D" w14:textId="446487C0" w:rsidR="00045873" w:rsidRDefault="00045873" w:rsidP="006F2B6C">
            <w:pPr>
              <w:jc w:val="left"/>
            </w:pPr>
          </w:p>
        </w:tc>
        <w:tc>
          <w:tcPr>
            <w:tcW w:w="3822" w:type="dxa"/>
          </w:tcPr>
          <w:p w14:paraId="15652B84" w14:textId="50F6BB6C" w:rsidR="00C2694A" w:rsidRDefault="006F2B6C" w:rsidP="006F2B6C">
            <w:pPr>
              <w:jc w:val="left"/>
            </w:pPr>
            <w:r>
              <w:t>Höchste Schnittleistung beim Sägen mit Bimetall- und Hartmetall-Sägebändern.</w:t>
            </w:r>
          </w:p>
        </w:tc>
      </w:tr>
      <w:tr w:rsidR="00045873" w14:paraId="3F0C43C2" w14:textId="77777777" w:rsidTr="0034262D">
        <w:tc>
          <w:tcPr>
            <w:tcW w:w="7643" w:type="dxa"/>
            <w:gridSpan w:val="2"/>
          </w:tcPr>
          <w:p w14:paraId="2AC768CD" w14:textId="2C7D8776" w:rsidR="00045873" w:rsidRDefault="00045873" w:rsidP="00072A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A2FFF2" wp14:editId="2B1045D1">
                  <wp:extent cx="1914147" cy="1276098"/>
                  <wp:effectExtent l="0" t="0" r="0" b="635"/>
                  <wp:docPr id="1676177410" name="Grafik 1676177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177410" name="Grafik 16761774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147" cy="127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873" w14:paraId="072F3222" w14:textId="77777777" w:rsidTr="001F67B7">
        <w:tc>
          <w:tcPr>
            <w:tcW w:w="7643" w:type="dxa"/>
            <w:gridSpan w:val="2"/>
          </w:tcPr>
          <w:p w14:paraId="3E1A0499" w14:textId="4F556689" w:rsidR="00045873" w:rsidRDefault="00045873" w:rsidP="00072AAC">
            <w:pPr>
              <w:jc w:val="left"/>
            </w:pPr>
            <w:r>
              <w:t>Die neue, intuitive Steuerungsoberfläche für Behringer Bandsägen und Kreissägen von Behringer Eisele.</w:t>
            </w:r>
          </w:p>
        </w:tc>
      </w:tr>
    </w:tbl>
    <w:p w14:paraId="6110E3C0" w14:textId="77777777" w:rsidR="00C2694A" w:rsidRPr="00C2694A" w:rsidRDefault="00C2694A" w:rsidP="00045873"/>
    <w:sectPr w:rsidR="00C2694A" w:rsidRPr="00C2694A" w:rsidSect="00840AB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438" w:right="311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58DA" w14:textId="77777777" w:rsidR="00B63B04" w:rsidRDefault="00B63B04" w:rsidP="00EC50E2">
      <w:pPr>
        <w:spacing w:after="0" w:line="240" w:lineRule="auto"/>
      </w:pPr>
      <w:r>
        <w:separator/>
      </w:r>
    </w:p>
  </w:endnote>
  <w:endnote w:type="continuationSeparator" w:id="0">
    <w:p w14:paraId="32545E16" w14:textId="77777777" w:rsidR="00B63B04" w:rsidRDefault="00B63B04" w:rsidP="00EC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7939" w:tblpY="181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1"/>
    </w:tblGrid>
    <w:tr w:rsidR="008769D7" w14:paraId="35965D15" w14:textId="77777777" w:rsidTr="008769D7">
      <w:tc>
        <w:tcPr>
          <w:tcW w:w="3681" w:type="dxa"/>
        </w:tcPr>
        <w:p w14:paraId="51A80360" w14:textId="16C57710" w:rsidR="008769D7" w:rsidRDefault="008769D7" w:rsidP="008769D7">
          <w:pPr>
            <w:pStyle w:val="Fuzeile"/>
            <w:jc w:val="right"/>
          </w:pPr>
          <w:r>
            <w:t xml:space="preserve">Kirchardt, </w:t>
          </w:r>
          <w:r w:rsidR="004136B7">
            <w:t>September</w:t>
          </w:r>
          <w:r w:rsidR="00615825">
            <w:t xml:space="preserve"> 202</w:t>
          </w:r>
          <w:r w:rsidR="006900B3">
            <w:t>3</w:t>
          </w:r>
        </w:p>
      </w:tc>
    </w:tr>
  </w:tbl>
  <w:p w14:paraId="647DB4FC" w14:textId="77777777" w:rsidR="008769D7" w:rsidRDefault="00876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A2AA" w14:textId="77777777" w:rsidR="00B63B04" w:rsidRDefault="00B63B04" w:rsidP="00EC50E2">
      <w:pPr>
        <w:spacing w:after="0" w:line="240" w:lineRule="auto"/>
      </w:pPr>
      <w:r>
        <w:separator/>
      </w:r>
    </w:p>
  </w:footnote>
  <w:footnote w:type="continuationSeparator" w:id="0">
    <w:p w14:paraId="6A3CEACE" w14:textId="77777777" w:rsidR="00B63B04" w:rsidRDefault="00B63B04" w:rsidP="00EC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86EA" w14:textId="5F2BB62C" w:rsidR="00EC50E2" w:rsidRDefault="004700C9">
    <w:pPr>
      <w:pStyle w:val="Kopfzeile"/>
    </w:pPr>
    <w:r>
      <w:rPr>
        <w:noProof/>
      </w:rPr>
      <w:pict w14:anchorId="2AF89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5422" o:spid="_x0000_s2065" type="#_x0000_t75" style="position:absolute;left:0;text-align:left;margin-left:0;margin-top:0;width:595.3pt;height:841.9pt;z-index:-251657216;mso-position-horizontal:center;mso-position-horizontal-relative:margin;mso-position-vertical:center;mso-position-vertical-relative:margin" o:allowincell="f">
          <v:imagedata r:id="rId1" o:title="Layout Hintergrund Presse Market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1135" w:tblpY="28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0"/>
    </w:tblGrid>
    <w:tr w:rsidR="008769D7" w:rsidRPr="00045873" w14:paraId="19EB7313" w14:textId="77777777" w:rsidTr="00641BD6">
      <w:trPr>
        <w:trHeight w:val="1247"/>
      </w:trPr>
      <w:tc>
        <w:tcPr>
          <w:tcW w:w="6520" w:type="dxa"/>
          <w:vAlign w:val="center"/>
        </w:tcPr>
        <w:p w14:paraId="5943CDBA" w14:textId="77777777" w:rsidR="00B474C0" w:rsidRPr="005521E0" w:rsidRDefault="00B474C0" w:rsidP="00B474C0">
          <w:pPr>
            <w:rPr>
              <w:sz w:val="32"/>
              <w:szCs w:val="32"/>
              <w:lang w:val="fr-FR"/>
            </w:rPr>
          </w:pPr>
          <w:proofErr w:type="spellStart"/>
          <w:r w:rsidRPr="005521E0">
            <w:rPr>
              <w:sz w:val="32"/>
              <w:szCs w:val="32"/>
              <w:lang w:val="fr-FR"/>
            </w:rPr>
            <w:t>Presseinformation</w:t>
          </w:r>
          <w:proofErr w:type="spellEnd"/>
        </w:p>
        <w:p w14:paraId="19383F99" w14:textId="77777777" w:rsidR="00B474C0" w:rsidRPr="005521E0" w:rsidRDefault="00B474C0" w:rsidP="00B474C0">
          <w:pPr>
            <w:rPr>
              <w:sz w:val="32"/>
              <w:szCs w:val="32"/>
              <w:lang w:val="fr-FR"/>
            </w:rPr>
          </w:pPr>
          <w:proofErr w:type="spellStart"/>
          <w:r w:rsidRPr="005521E0">
            <w:rPr>
              <w:sz w:val="32"/>
              <w:szCs w:val="32"/>
              <w:lang w:val="fr-FR"/>
            </w:rPr>
            <w:t>Press</w:t>
          </w:r>
          <w:proofErr w:type="spellEnd"/>
          <w:r w:rsidRPr="005521E0">
            <w:rPr>
              <w:sz w:val="32"/>
              <w:szCs w:val="32"/>
              <w:lang w:val="fr-FR"/>
            </w:rPr>
            <w:t xml:space="preserve"> Release</w:t>
          </w:r>
        </w:p>
        <w:p w14:paraId="1DECA10F" w14:textId="77777777" w:rsidR="008769D7" w:rsidRPr="005521E0" w:rsidRDefault="00B474C0" w:rsidP="00B474C0">
          <w:pPr>
            <w:rPr>
              <w:lang w:val="fr-FR"/>
            </w:rPr>
          </w:pPr>
          <w:r w:rsidRPr="005521E0">
            <w:rPr>
              <w:sz w:val="32"/>
              <w:szCs w:val="32"/>
              <w:lang w:val="fr-FR"/>
            </w:rPr>
            <w:t>Communiqué de presse</w:t>
          </w:r>
        </w:p>
      </w:tc>
    </w:tr>
  </w:tbl>
  <w:p w14:paraId="78AA6356" w14:textId="1E281284" w:rsidR="00EC50E2" w:rsidRPr="0005063A" w:rsidRDefault="004700C9">
    <w:pPr>
      <w:pStyle w:val="Kopfzeile"/>
      <w:rPr>
        <w:lang w:val="en-GB"/>
      </w:rPr>
    </w:pPr>
    <w:r>
      <w:rPr>
        <w:noProof/>
        <w:lang w:val="en-GB"/>
      </w:rPr>
      <w:pict w14:anchorId="025B0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5423" o:spid="_x0000_s2066" type="#_x0000_t75" style="position:absolute;left:0;text-align:left;margin-left:-56.9pt;margin-top:-122pt;width:595.3pt;height:841.9pt;z-index:-251656192;mso-position-horizontal-relative:margin;mso-position-vertical-relative:margin" o:allowincell="f">
          <v:imagedata r:id="rId1" o:title="Layout Hintergrund Presse Market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FF86" w14:textId="30D1118D" w:rsidR="00EC50E2" w:rsidRDefault="004700C9">
    <w:pPr>
      <w:pStyle w:val="Kopfzeile"/>
    </w:pPr>
    <w:r>
      <w:rPr>
        <w:noProof/>
      </w:rPr>
      <w:pict w14:anchorId="5F9B2D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5421" o:spid="_x0000_s2064" type="#_x0000_t75" style="position:absolute;left:0;text-align:left;margin-left:0;margin-top:0;width:595.3pt;height:841.9pt;z-index:-251658240;mso-position-horizontal:center;mso-position-horizontal-relative:margin;mso-position-vertical:center;mso-position-vertical-relative:margin" o:allowincell="f">
          <v:imagedata r:id="rId1" o:title="Layout Hintergrund Presse Market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DA7"/>
    <w:multiLevelType w:val="hybridMultilevel"/>
    <w:tmpl w:val="A7C6F6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79D"/>
    <w:multiLevelType w:val="hybridMultilevel"/>
    <w:tmpl w:val="436CDC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437E"/>
    <w:multiLevelType w:val="hybridMultilevel"/>
    <w:tmpl w:val="DC7AE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DE4"/>
    <w:multiLevelType w:val="hybridMultilevel"/>
    <w:tmpl w:val="B7F4B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B2E6B"/>
    <w:multiLevelType w:val="hybridMultilevel"/>
    <w:tmpl w:val="E8CA2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392A"/>
    <w:multiLevelType w:val="hybridMultilevel"/>
    <w:tmpl w:val="76F89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025D6"/>
    <w:multiLevelType w:val="hybridMultilevel"/>
    <w:tmpl w:val="8536F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0805"/>
    <w:multiLevelType w:val="hybridMultilevel"/>
    <w:tmpl w:val="BA9E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D5DD2"/>
    <w:multiLevelType w:val="hybridMultilevel"/>
    <w:tmpl w:val="2FAC2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63F92"/>
    <w:multiLevelType w:val="hybridMultilevel"/>
    <w:tmpl w:val="E9B0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D28B9"/>
    <w:multiLevelType w:val="hybridMultilevel"/>
    <w:tmpl w:val="1C762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D54D1"/>
    <w:multiLevelType w:val="hybridMultilevel"/>
    <w:tmpl w:val="306E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88991">
    <w:abstractNumId w:val="1"/>
  </w:num>
  <w:num w:numId="2" w16cid:durableId="54671237">
    <w:abstractNumId w:val="0"/>
  </w:num>
  <w:num w:numId="3" w16cid:durableId="135144381">
    <w:abstractNumId w:val="11"/>
  </w:num>
  <w:num w:numId="4" w16cid:durableId="409273457">
    <w:abstractNumId w:val="8"/>
  </w:num>
  <w:num w:numId="5" w16cid:durableId="1950502935">
    <w:abstractNumId w:val="10"/>
  </w:num>
  <w:num w:numId="6" w16cid:durableId="597106273">
    <w:abstractNumId w:val="2"/>
  </w:num>
  <w:num w:numId="7" w16cid:durableId="66847647">
    <w:abstractNumId w:val="3"/>
  </w:num>
  <w:num w:numId="8" w16cid:durableId="1598713965">
    <w:abstractNumId w:val="9"/>
  </w:num>
  <w:num w:numId="9" w16cid:durableId="1542133844">
    <w:abstractNumId w:val="6"/>
  </w:num>
  <w:num w:numId="10" w16cid:durableId="140582095">
    <w:abstractNumId w:val="4"/>
  </w:num>
  <w:num w:numId="11" w16cid:durableId="786197342">
    <w:abstractNumId w:val="7"/>
  </w:num>
  <w:num w:numId="12" w16cid:durableId="208190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04"/>
    <w:rsid w:val="00033102"/>
    <w:rsid w:val="00045873"/>
    <w:rsid w:val="0005063A"/>
    <w:rsid w:val="00052B2B"/>
    <w:rsid w:val="00094934"/>
    <w:rsid w:val="000B5F41"/>
    <w:rsid w:val="000D0E1A"/>
    <w:rsid w:val="000E1007"/>
    <w:rsid w:val="00147AD6"/>
    <w:rsid w:val="001B32F2"/>
    <w:rsid w:val="001C1767"/>
    <w:rsid w:val="001E7489"/>
    <w:rsid w:val="001E7C4A"/>
    <w:rsid w:val="001F38B9"/>
    <w:rsid w:val="00211464"/>
    <w:rsid w:val="002419D1"/>
    <w:rsid w:val="00243F71"/>
    <w:rsid w:val="00250EDF"/>
    <w:rsid w:val="002652FB"/>
    <w:rsid w:val="00270A71"/>
    <w:rsid w:val="00281446"/>
    <w:rsid w:val="002968C9"/>
    <w:rsid w:val="002A4347"/>
    <w:rsid w:val="002A46DB"/>
    <w:rsid w:val="002E2586"/>
    <w:rsid w:val="002F0F5B"/>
    <w:rsid w:val="003002A7"/>
    <w:rsid w:val="0032272F"/>
    <w:rsid w:val="00322C44"/>
    <w:rsid w:val="003507B4"/>
    <w:rsid w:val="00366F73"/>
    <w:rsid w:val="003A048E"/>
    <w:rsid w:val="003B2956"/>
    <w:rsid w:val="003B4662"/>
    <w:rsid w:val="004136B7"/>
    <w:rsid w:val="00431D17"/>
    <w:rsid w:val="00455D51"/>
    <w:rsid w:val="004700C9"/>
    <w:rsid w:val="004770D1"/>
    <w:rsid w:val="004D413B"/>
    <w:rsid w:val="00533700"/>
    <w:rsid w:val="005521E0"/>
    <w:rsid w:val="00574819"/>
    <w:rsid w:val="005856F3"/>
    <w:rsid w:val="00593AD5"/>
    <w:rsid w:val="005D089F"/>
    <w:rsid w:val="00615825"/>
    <w:rsid w:val="00641BD6"/>
    <w:rsid w:val="00651B68"/>
    <w:rsid w:val="006900B3"/>
    <w:rsid w:val="0069134D"/>
    <w:rsid w:val="006A1245"/>
    <w:rsid w:val="006E4EF3"/>
    <w:rsid w:val="006F2B6C"/>
    <w:rsid w:val="00743B1D"/>
    <w:rsid w:val="00767332"/>
    <w:rsid w:val="007759D7"/>
    <w:rsid w:val="00781860"/>
    <w:rsid w:val="007C7958"/>
    <w:rsid w:val="00840AB0"/>
    <w:rsid w:val="00843F5C"/>
    <w:rsid w:val="00845151"/>
    <w:rsid w:val="00867F24"/>
    <w:rsid w:val="008769D7"/>
    <w:rsid w:val="008E7A30"/>
    <w:rsid w:val="00930414"/>
    <w:rsid w:val="009466F2"/>
    <w:rsid w:val="00961B91"/>
    <w:rsid w:val="00981758"/>
    <w:rsid w:val="009A005C"/>
    <w:rsid w:val="009A3AE4"/>
    <w:rsid w:val="00A371A2"/>
    <w:rsid w:val="00A52466"/>
    <w:rsid w:val="00A6003E"/>
    <w:rsid w:val="00A93D5A"/>
    <w:rsid w:val="00AC6F04"/>
    <w:rsid w:val="00AD1AB1"/>
    <w:rsid w:val="00AD6E9C"/>
    <w:rsid w:val="00AD7EA2"/>
    <w:rsid w:val="00B02533"/>
    <w:rsid w:val="00B474C0"/>
    <w:rsid w:val="00B63B04"/>
    <w:rsid w:val="00B81FE6"/>
    <w:rsid w:val="00B91147"/>
    <w:rsid w:val="00B97DFC"/>
    <w:rsid w:val="00BF2B85"/>
    <w:rsid w:val="00BF7665"/>
    <w:rsid w:val="00C2694A"/>
    <w:rsid w:val="00C3011A"/>
    <w:rsid w:val="00C608DE"/>
    <w:rsid w:val="00C67EC3"/>
    <w:rsid w:val="00C7630A"/>
    <w:rsid w:val="00CA0731"/>
    <w:rsid w:val="00CA75E9"/>
    <w:rsid w:val="00CB161D"/>
    <w:rsid w:val="00CB2B7A"/>
    <w:rsid w:val="00CB5CD8"/>
    <w:rsid w:val="00CC2094"/>
    <w:rsid w:val="00D205F3"/>
    <w:rsid w:val="00D32722"/>
    <w:rsid w:val="00D4467A"/>
    <w:rsid w:val="00D63ADC"/>
    <w:rsid w:val="00D8501D"/>
    <w:rsid w:val="00DB5A64"/>
    <w:rsid w:val="00DC34D4"/>
    <w:rsid w:val="00DE424D"/>
    <w:rsid w:val="00DF1BFF"/>
    <w:rsid w:val="00DF6881"/>
    <w:rsid w:val="00E171B4"/>
    <w:rsid w:val="00E21EF9"/>
    <w:rsid w:val="00E66686"/>
    <w:rsid w:val="00E91F5A"/>
    <w:rsid w:val="00EC10C1"/>
    <w:rsid w:val="00EC50E2"/>
    <w:rsid w:val="00EC5FCB"/>
    <w:rsid w:val="00F204DE"/>
    <w:rsid w:val="00FA7928"/>
    <w:rsid w:val="00FB638E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B57C5C6"/>
  <w15:chartTrackingRefBased/>
  <w15:docId w15:val="{13739CE1-4945-46ED-B7D7-FF2D9F5E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05F3"/>
    <w:pPr>
      <w:jc w:val="both"/>
    </w:pPr>
    <w:rPr>
      <w:rFonts w:ascii="DINPro" w:hAnsi="DIN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05F3"/>
    <w:pPr>
      <w:keepNext/>
      <w:keepLines/>
      <w:jc w:val="left"/>
      <w:outlineLvl w:val="0"/>
    </w:pPr>
    <w:rPr>
      <w:rFonts w:ascii="DINPro-Medium" w:eastAsiaTheme="majorEastAsia" w:hAnsi="DINPro-Medium" w:cstheme="majorBidi"/>
      <w:color w:val="952C4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05F3"/>
    <w:pPr>
      <w:keepNext/>
      <w:keepLines/>
      <w:spacing w:before="40" w:after="80"/>
      <w:jc w:val="left"/>
      <w:outlineLvl w:val="1"/>
    </w:pPr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71A2"/>
    <w:pPr>
      <w:keepNext/>
      <w:keepLines/>
      <w:spacing w:before="40" w:after="40"/>
      <w:outlineLvl w:val="2"/>
    </w:pPr>
    <w:rPr>
      <w:rFonts w:ascii="DINPro-Medium" w:eastAsiaTheme="majorEastAsia" w:hAnsi="DINPro-Medium" w:cstheme="majorBidi"/>
      <w:color w:val="65707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B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50E2"/>
  </w:style>
  <w:style w:type="paragraph" w:styleId="Fuzeile">
    <w:name w:val="footer"/>
    <w:basedOn w:val="Standard"/>
    <w:link w:val="Fu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0E2"/>
  </w:style>
  <w:style w:type="character" w:customStyle="1" w:styleId="berschrift1Zchn">
    <w:name w:val="Überschrift 1 Zchn"/>
    <w:basedOn w:val="Absatz-Standardschriftart"/>
    <w:link w:val="berschrift1"/>
    <w:uiPriority w:val="9"/>
    <w:rsid w:val="00D205F3"/>
    <w:rPr>
      <w:rFonts w:ascii="DINPro-Medium" w:eastAsiaTheme="majorEastAsia" w:hAnsi="DINPro-Medium" w:cstheme="majorBidi"/>
      <w:color w:val="952C4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05F3"/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KeinLeerraum">
    <w:name w:val="No Spacing"/>
    <w:uiPriority w:val="1"/>
    <w:qFormat/>
    <w:rsid w:val="00CB161D"/>
    <w:pPr>
      <w:spacing w:after="0" w:line="240" w:lineRule="auto"/>
    </w:pPr>
    <w:rPr>
      <w:rFonts w:ascii="DINPro" w:hAnsi="DINPr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ED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EDF"/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71A2"/>
    <w:rPr>
      <w:rFonts w:ascii="DINPro-Medium" w:eastAsiaTheme="majorEastAsia" w:hAnsi="DINPro-Medium" w:cstheme="majorBidi"/>
      <w:color w:val="65707A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0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rsid w:val="00250EDF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E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5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474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Fett">
    <w:name w:val="Strong"/>
    <w:aliases w:val="Standard + (Latein) Arial,Rechts:  6 cm,Zeilenabstand:  Genau 16 pt"/>
    <w:qFormat/>
    <w:rsid w:val="00CA75E9"/>
    <w:rPr>
      <w:b/>
      <w:bCs/>
    </w:rPr>
  </w:style>
  <w:style w:type="paragraph" w:styleId="Textkrper3">
    <w:name w:val="Body Text 3"/>
    <w:basedOn w:val="Standard"/>
    <w:link w:val="Textkrper3Zchn"/>
    <w:rsid w:val="002968C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2968C9"/>
    <w:rPr>
      <w:rFonts w:ascii="Calibri" w:eastAsia="Calibri" w:hAnsi="Calibri" w:cs="Times New Roman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04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04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0414"/>
    <w:rPr>
      <w:rFonts w:ascii="DINPro" w:hAnsi="DINPr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04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0414"/>
    <w:rPr>
      <w:rFonts w:ascii="DINPro" w:hAnsi="DINPro"/>
      <w:b/>
      <w:bCs/>
      <w:sz w:val="20"/>
      <w:szCs w:val="20"/>
    </w:rPr>
  </w:style>
  <w:style w:type="character" w:customStyle="1" w:styleId="bcx9">
    <w:name w:val="bcx9"/>
    <w:basedOn w:val="Absatz-Standardschriftart"/>
    <w:rsid w:val="000E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5A24-5858-4A8E-8D13-A1D66F6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Vierling Jana</dc:creator>
  <cp:keywords/>
  <dc:description/>
  <cp:lastModifiedBy>Layer Dominik</cp:lastModifiedBy>
  <cp:revision>29</cp:revision>
  <dcterms:created xsi:type="dcterms:W3CDTF">2021-09-08T14:44:00Z</dcterms:created>
  <dcterms:modified xsi:type="dcterms:W3CDTF">2023-09-11T16:00:00Z</dcterms:modified>
</cp:coreProperties>
</file>