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C03" w14:textId="6D3EE7D8" w:rsidR="005655D4" w:rsidRPr="005655D4" w:rsidRDefault="004607D3" w:rsidP="005655D4">
      <w:pPr>
        <w:pStyle w:val="berschrift3"/>
      </w:pPr>
      <w:r>
        <w:t>Euro</w:t>
      </w:r>
      <w:r w:rsidR="00440F1F">
        <w:t>BLECH</w:t>
      </w:r>
      <w:r>
        <w:t xml:space="preserve"> </w:t>
      </w:r>
      <w:r w:rsidR="005655D4" w:rsidRPr="005655D4">
        <w:t>202</w:t>
      </w:r>
      <w:r w:rsidR="004D1FB9">
        <w:t>2</w:t>
      </w:r>
      <w:r>
        <w:t xml:space="preserve"> Hannover</w:t>
      </w:r>
      <w:r w:rsidR="005655D4" w:rsidRPr="005655D4">
        <w:t xml:space="preserve">: Halle </w:t>
      </w:r>
      <w:r>
        <w:t>12</w:t>
      </w:r>
      <w:r w:rsidR="005655D4" w:rsidRPr="005655D4">
        <w:t xml:space="preserve"> / Stand </w:t>
      </w:r>
      <w:r>
        <w:t>F85</w:t>
      </w:r>
    </w:p>
    <w:p w14:paraId="138CDA7B" w14:textId="020F8F9C" w:rsidR="000358A3" w:rsidRDefault="004D1FB9" w:rsidP="00015BFB">
      <w:pPr>
        <w:pStyle w:val="berschrift1"/>
      </w:pPr>
      <w:r>
        <w:t>Automatische Tischbandsäge LPS-TA</w:t>
      </w:r>
    </w:p>
    <w:p w14:paraId="00559C48" w14:textId="66B08AC4" w:rsidR="00413D39" w:rsidRDefault="00413D39" w:rsidP="004607D3">
      <w:pPr>
        <w:pStyle w:val="berschrift2"/>
      </w:pPr>
      <w:r>
        <w:t>Clevere Lösung zum automatisierten Aufsägen von Metallplatten und Blöcken</w:t>
      </w:r>
    </w:p>
    <w:p w14:paraId="5008028B" w14:textId="1DC87784" w:rsidR="001C056E" w:rsidRDefault="00C57AA3">
      <w:pPr>
        <w:jc w:val="left"/>
      </w:pPr>
      <w:r>
        <w:t xml:space="preserve">Flachstahl und Vierkantstahl gelten als wichtige Vorprodukte oder Ausgangsmaterialien für die verarbeitende Industrie. </w:t>
      </w:r>
      <w:r w:rsidR="005F309D">
        <w:t>Sie bieten vielfältige Einsatzmöglichkeiten beispielsweise im Werkzeugbau,</w:t>
      </w:r>
      <w:r w:rsidR="00AC7F18">
        <w:t xml:space="preserve"> Fahrzeugbau oder Maschinenbau. </w:t>
      </w:r>
      <w:r w:rsidR="00C00A8D">
        <w:t>Oft wechselnde Abmessungen und kleine Losgrößen stellen jedoch hohe Anforderungen an Beschaffung und Logistik.</w:t>
      </w:r>
      <w:r w:rsidR="001C056E">
        <w:t xml:space="preserve"> </w:t>
      </w:r>
      <w:r w:rsidR="009146BA">
        <w:t>Zuschnitte aus Block- und Plattenmaterial bieten hier deutliche Vorteile, sofern eine geeignete Sägelösung vorhanden ist.</w:t>
      </w:r>
    </w:p>
    <w:p w14:paraId="33D0BE35" w14:textId="0318B4A5" w:rsidR="001C056E" w:rsidRDefault="001C056E">
      <w:pPr>
        <w:jc w:val="left"/>
      </w:pPr>
      <w:r>
        <w:t xml:space="preserve">Die neue, automatische Tischbandsäge LPS-TA </w:t>
      </w:r>
      <w:r w:rsidR="0029172D">
        <w:t xml:space="preserve">von Behringer trennt Platten und Blöcke bis 1.520 x 620 mm Größe </w:t>
      </w:r>
      <w:r w:rsidR="00A80C3E">
        <w:t xml:space="preserve">und 3 Tonnen Maximalgewicht </w:t>
      </w:r>
      <w:r w:rsidR="0029172D">
        <w:t xml:space="preserve">vollautomatisch. In einer Aufspannung </w:t>
      </w:r>
      <w:r w:rsidR="0066308A">
        <w:t>lassen sich somit Flachstähle verschiedener Dicken und Sondermaße automatisiert herstellen.</w:t>
      </w:r>
      <w:r w:rsidR="00EE01C7">
        <w:t xml:space="preserve"> Dabei ist die Tischbandsäge</w:t>
      </w:r>
      <w:r w:rsidR="00444323">
        <w:t>,</w:t>
      </w:r>
      <w:r w:rsidR="00EE01C7">
        <w:t xml:space="preserve"> dank ihrer durchdachten Sicherheitseinrichtungen</w:t>
      </w:r>
      <w:r w:rsidR="00444323">
        <w:t>,</w:t>
      </w:r>
      <w:r w:rsidR="00EE01C7">
        <w:t xml:space="preserve"> äußerst kompakt</w:t>
      </w:r>
      <w:r w:rsidR="00E91F5D">
        <w:t xml:space="preserve"> und auch bei beengten Platzverhältnissen aufstell</w:t>
      </w:r>
      <w:r w:rsidR="00A046D1">
        <w:t>- und bedien</w:t>
      </w:r>
      <w:r w:rsidR="00E91F5D">
        <w:t>bar.</w:t>
      </w:r>
    </w:p>
    <w:p w14:paraId="3636DFC5" w14:textId="77777777" w:rsidR="00E91F5D" w:rsidRDefault="00E91F5D">
      <w:pPr>
        <w:jc w:val="left"/>
      </w:pPr>
    </w:p>
    <w:p w14:paraId="39C6BD42" w14:textId="48467857" w:rsidR="00413D39" w:rsidRDefault="00AE33A3" w:rsidP="002810D9">
      <w:pPr>
        <w:pStyle w:val="berschrift2"/>
      </w:pPr>
      <w:r>
        <w:t>Schnelles Einrichten – einfache Bedienung</w:t>
      </w:r>
    </w:p>
    <w:p w14:paraId="64709EEA" w14:textId="0FB94047" w:rsidR="0048292E" w:rsidRDefault="00AE33A3">
      <w:pPr>
        <w:jc w:val="left"/>
      </w:pPr>
      <w:r>
        <w:t xml:space="preserve">Mit ihrem verfahrbaren Materialtisch kann die Tischbandsäge </w:t>
      </w:r>
      <w:r w:rsidR="006D6EB2">
        <w:t>bequem</w:t>
      </w:r>
      <w:r>
        <w:t xml:space="preserve"> per Kran </w:t>
      </w:r>
      <w:proofErr w:type="spellStart"/>
      <w:r>
        <w:t>be</w:t>
      </w:r>
      <w:proofErr w:type="spellEnd"/>
      <w:r>
        <w:t xml:space="preserve">- </w:t>
      </w:r>
      <w:r w:rsidRPr="00DB2E03">
        <w:t>und entladen werden. Durch das Sägeprinzip vom Innentisch nach außen</w:t>
      </w:r>
      <w:r w:rsidR="002810D9" w:rsidRPr="00DB2E03">
        <w:t xml:space="preserve"> können bereits gesägte Teile</w:t>
      </w:r>
      <w:r w:rsidR="005F309D">
        <w:t xml:space="preserve"> </w:t>
      </w:r>
      <w:r w:rsidR="006D6EB2">
        <w:t>einfach</w:t>
      </w:r>
      <w:r w:rsidR="005F309D">
        <w:t xml:space="preserve"> </w:t>
      </w:r>
      <w:r w:rsidR="002810D9">
        <w:t>entnommen werden.</w:t>
      </w:r>
    </w:p>
    <w:p w14:paraId="5B9B944C" w14:textId="3313EDC0" w:rsidR="0066308A" w:rsidRDefault="0048292E">
      <w:pPr>
        <w:jc w:val="left"/>
      </w:pPr>
      <w:r>
        <w:t xml:space="preserve">Gesteuert wird der Plattensägeautomat durch eine intuitive Touch-Steuerung, die den Anwender Schritt für Schritt durch die Programmierung führt. </w:t>
      </w:r>
      <w:r w:rsidR="00900442">
        <w:t>Nach Eingabe der Plattenabmessungen und Einspannen des Materials im Greifer richtet sich die Säge automatisch ein.</w:t>
      </w:r>
    </w:p>
    <w:p w14:paraId="3B4B8AAE" w14:textId="5C13F952" w:rsidR="00AE33A3" w:rsidRDefault="00AE33A3">
      <w:pPr>
        <w:jc w:val="left"/>
      </w:pPr>
    </w:p>
    <w:p w14:paraId="05509CE7" w14:textId="1ECD04B4" w:rsidR="00AE33A3" w:rsidRDefault="00AE33A3" w:rsidP="00B65863">
      <w:pPr>
        <w:pStyle w:val="berschrift2"/>
      </w:pPr>
      <w:r>
        <w:t xml:space="preserve">Hohe </w:t>
      </w:r>
      <w:r w:rsidR="00B65863">
        <w:t>Schnittpräzision</w:t>
      </w:r>
      <w:r>
        <w:t xml:space="preserve"> und kurze Schnittzeiten</w:t>
      </w:r>
    </w:p>
    <w:p w14:paraId="3689523C" w14:textId="210692E3" w:rsidR="00B65863" w:rsidRDefault="00B65863">
      <w:pPr>
        <w:jc w:val="left"/>
      </w:pPr>
      <w:r>
        <w:t xml:space="preserve">Ihre verwindungssteife Konstruktion, </w:t>
      </w:r>
      <w:r w:rsidR="00EC3932">
        <w:t>der linear geführte Materialtisch</w:t>
      </w:r>
      <w:r w:rsidR="005A12F8">
        <w:t xml:space="preserve">, </w:t>
      </w:r>
      <w:r>
        <w:t xml:space="preserve">der Einsatz schwingungsdämpfender Gusskomponenten </w:t>
      </w:r>
      <w:r w:rsidR="005A12F8">
        <w:t xml:space="preserve">und die Bandführungen nahe am zu sägenden Material </w:t>
      </w:r>
      <w:r>
        <w:t xml:space="preserve">sorgen für hohe Schnittgenauigkeit, Laufruhe und lange Bandstandzeiten. Das serienmäßige </w:t>
      </w:r>
      <w:proofErr w:type="spellStart"/>
      <w:r>
        <w:t>Servo</w:t>
      </w:r>
      <w:proofErr w:type="spellEnd"/>
      <w:r>
        <w:t xml:space="preserve">-Vorschubsystem mit Schnittdruckregelung passt den Sägevorschub optimal auf den zu sägenden Werkstoff an. </w:t>
      </w:r>
      <w:r w:rsidRPr="00B65863">
        <w:t>Das Resultat ist ein konstanter Spanabtrag, insgesamt höhere Schnittleistungen als bei konventionellen Systemen sowie ein zuverlässiger Schutz des Sägebandes vor Überbelastung.</w:t>
      </w:r>
    </w:p>
    <w:p w14:paraId="7D236E73" w14:textId="01B06731" w:rsidR="00B65863" w:rsidRDefault="00B65863">
      <w:pPr>
        <w:jc w:val="left"/>
      </w:pPr>
      <w:r>
        <w:lastRenderedPageBreak/>
        <w:t xml:space="preserve">Ein besonderes Feature </w:t>
      </w:r>
      <w:r w:rsidR="006B4590">
        <w:t xml:space="preserve">der LPS-TA ist die Schnittkanalerweiterung, die den Einsatz von Hartmetall-Sägebändern ermöglicht. Der Abschnitt wird nach dem Durchsägen gespannt und der Schnittkanal durch die Positioniereinrichtung vor dem </w:t>
      </w:r>
      <w:r w:rsidR="00444323">
        <w:t>Z</w:t>
      </w:r>
      <w:r w:rsidR="006B4590">
        <w:t xml:space="preserve">urückfahren des Sägebands vergrößert. Somit können </w:t>
      </w:r>
      <w:r w:rsidR="00EC3932">
        <w:t>Werkzeugstähle, hochlegierte Edelstähle oder Nickel-Basis-Legierungen</w:t>
      </w:r>
      <w:r w:rsidR="006B4590">
        <w:t xml:space="preserve"> </w:t>
      </w:r>
      <w:r w:rsidR="00DB2E03">
        <w:t>effektiv</w:t>
      </w:r>
      <w:r w:rsidR="006B4590">
        <w:t xml:space="preserve"> getrennt werden.</w:t>
      </w:r>
    </w:p>
    <w:p w14:paraId="12254A1B" w14:textId="3B98A10F" w:rsidR="006B4590" w:rsidRDefault="006B4590">
      <w:pPr>
        <w:jc w:val="left"/>
      </w:pPr>
    </w:p>
    <w:p w14:paraId="69679F94" w14:textId="560CD14C" w:rsidR="006B4590" w:rsidRDefault="006B4590" w:rsidP="00185C60">
      <w:pPr>
        <w:pStyle w:val="berschrift2"/>
      </w:pPr>
      <w:r>
        <w:t>Prozesssichere Späneentsorgung</w:t>
      </w:r>
    </w:p>
    <w:p w14:paraId="44C62D5F" w14:textId="1C3C49A9" w:rsidR="006B4590" w:rsidRDefault="006B4590">
      <w:pPr>
        <w:jc w:val="left"/>
      </w:pPr>
      <w:r w:rsidRPr="00DB2E03">
        <w:t xml:space="preserve">Leistungsstarke Sägeschnitte erzeugen große Mengen anfallender Späne. </w:t>
      </w:r>
      <w:r w:rsidR="00185C60" w:rsidRPr="00DB2E03">
        <w:t xml:space="preserve">Beidseitig angeordnete, elektrische Spänebürsten reinigen das Sägeband von anhaftenden Spänen. </w:t>
      </w:r>
      <w:r w:rsidRPr="00DB2E03">
        <w:t xml:space="preserve">Um diese </w:t>
      </w:r>
      <w:r w:rsidR="00185C60" w:rsidRPr="00DB2E03">
        <w:t>sicher zu entsorgen, befindet sich unterhalb der Sägeeinheit, direkt in Spanflussrichtung, ein großdimensionierter Späneförderer mit integriertem Kühlmitteltank</w:t>
      </w:r>
      <w:r w:rsidR="00185C60">
        <w:t xml:space="preserve">. </w:t>
      </w:r>
      <w:r w:rsidR="00185C60" w:rsidRPr="00185C60">
        <w:t>Anfallende Späne und Kühlmittel werden hierin aufgefangen und getrennt. Für Reinigungs- und Wartungsarbeiten kann der Förderer aus dem Maschinengestell herausgefahren werden.</w:t>
      </w:r>
    </w:p>
    <w:p w14:paraId="4B357345" w14:textId="5C94010C" w:rsidR="009B5843" w:rsidRDefault="009B5843" w:rsidP="00CC56CB"/>
    <w:p w14:paraId="34F9012D" w14:textId="13709CAC" w:rsidR="009B5843" w:rsidRDefault="009B5843" w:rsidP="009B5843">
      <w:pPr>
        <w:pStyle w:val="berschrift1"/>
      </w:pPr>
      <w:r>
        <w:t>Bildunterschriften: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9B5843" w14:paraId="19C86252" w14:textId="77777777" w:rsidTr="00DA67D4">
        <w:tc>
          <w:tcPr>
            <w:tcW w:w="3821" w:type="dxa"/>
          </w:tcPr>
          <w:p w14:paraId="1A356D6C" w14:textId="26D264E4" w:rsidR="009B5843" w:rsidRDefault="00FA3C03" w:rsidP="00CC56CB">
            <w:r>
              <w:rPr>
                <w:noProof/>
              </w:rPr>
              <w:drawing>
                <wp:inline distT="0" distB="0" distL="0" distR="0" wp14:anchorId="6E7E5AAC" wp14:editId="6E9CD01C">
                  <wp:extent cx="2247774" cy="2279176"/>
                  <wp:effectExtent l="0" t="0" r="635" b="698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56266" cy="228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0EB390D8" w14:textId="72FBF246" w:rsidR="009B5843" w:rsidRDefault="00FA3C03" w:rsidP="00DA67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D4A54B" wp14:editId="1326F63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584674</wp:posOffset>
                  </wp:positionV>
                  <wp:extent cx="2340591" cy="1316334"/>
                  <wp:effectExtent l="0" t="0" r="317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591" cy="131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5843" w14:paraId="068FC658" w14:textId="77777777" w:rsidTr="009B5843">
        <w:tc>
          <w:tcPr>
            <w:tcW w:w="3821" w:type="dxa"/>
          </w:tcPr>
          <w:p w14:paraId="3770B1F1" w14:textId="0289DAAB" w:rsidR="0006342D" w:rsidRDefault="000718E4" w:rsidP="00BC3F4F">
            <w:pPr>
              <w:jc w:val="left"/>
            </w:pPr>
            <w:r>
              <w:t>Durch den Einsatz der automatische</w:t>
            </w:r>
            <w:r w:rsidR="00EC3932">
              <w:t>n</w:t>
            </w:r>
            <w:r>
              <w:t xml:space="preserve"> Tischbandsäge LPS-TA lassen sich Vorteile beim Materialeinkauf erzielen.</w:t>
            </w:r>
          </w:p>
        </w:tc>
        <w:tc>
          <w:tcPr>
            <w:tcW w:w="3822" w:type="dxa"/>
          </w:tcPr>
          <w:p w14:paraId="79672F55" w14:textId="03A38532" w:rsidR="009B5843" w:rsidRDefault="00074E00" w:rsidP="00BC3F4F">
            <w:pPr>
              <w:jc w:val="left"/>
            </w:pPr>
            <w:r>
              <w:t>D</w:t>
            </w:r>
            <w:r w:rsidR="000718E4" w:rsidRPr="000718E4">
              <w:t xml:space="preserve">ie Kombination aus NC-gesteuerter Nachschubeinrichtung und intelligenter Steuerung </w:t>
            </w:r>
            <w:r>
              <w:t>ermöglicht, dass</w:t>
            </w:r>
            <w:r w:rsidR="000718E4" w:rsidRPr="000718E4">
              <w:t xml:space="preserve"> Platten </w:t>
            </w:r>
            <w:r w:rsidR="00EC3932">
              <w:t>automatisiert</w:t>
            </w:r>
            <w:r w:rsidR="000718E4" w:rsidRPr="000718E4">
              <w:t xml:space="preserve"> getrennt werden.</w:t>
            </w:r>
          </w:p>
        </w:tc>
      </w:tr>
    </w:tbl>
    <w:p w14:paraId="623731A6" w14:textId="2C4238BC" w:rsidR="009B5843" w:rsidRPr="009F698F" w:rsidRDefault="009B5843" w:rsidP="00CC56CB"/>
    <w:sectPr w:rsidR="009B5843" w:rsidRPr="009F698F" w:rsidSect="00840AB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38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8DA" w14:textId="77777777" w:rsidR="00B63B04" w:rsidRDefault="00B63B04" w:rsidP="00EC50E2">
      <w:pPr>
        <w:spacing w:after="0" w:line="240" w:lineRule="auto"/>
      </w:pPr>
      <w:r>
        <w:separator/>
      </w:r>
    </w:p>
  </w:endnote>
  <w:endnote w:type="continuationSeparator" w:id="0">
    <w:p w14:paraId="32545E16" w14:textId="77777777" w:rsidR="00B63B04" w:rsidRDefault="00B63B0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35965D15" w14:textId="77777777" w:rsidTr="008769D7">
      <w:tc>
        <w:tcPr>
          <w:tcW w:w="3681" w:type="dxa"/>
        </w:tcPr>
        <w:p w14:paraId="51A80360" w14:textId="4C1F3145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615825">
            <w:t xml:space="preserve">im </w:t>
          </w:r>
          <w:r w:rsidR="004607D3">
            <w:t>Oktober</w:t>
          </w:r>
          <w:r w:rsidR="00615825">
            <w:t xml:space="preserve"> 202</w:t>
          </w:r>
          <w:r w:rsidR="004D1FB9">
            <w:t>2</w:t>
          </w:r>
        </w:p>
      </w:tc>
    </w:tr>
  </w:tbl>
  <w:p w14:paraId="647DB4FC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2AA" w14:textId="77777777" w:rsidR="00B63B04" w:rsidRDefault="00B63B04" w:rsidP="00EC50E2">
      <w:pPr>
        <w:spacing w:after="0" w:line="240" w:lineRule="auto"/>
      </w:pPr>
      <w:r>
        <w:separator/>
      </w:r>
    </w:p>
  </w:footnote>
  <w:footnote w:type="continuationSeparator" w:id="0">
    <w:p w14:paraId="6A3CEACE" w14:textId="77777777" w:rsidR="00B63B04" w:rsidRDefault="00B63B0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6EA" w14:textId="77777777" w:rsidR="00EC50E2" w:rsidRDefault="00440F1F">
    <w:pPr>
      <w:pStyle w:val="Kopfzeile"/>
    </w:pPr>
    <w:r>
      <w:rPr>
        <w:noProof/>
      </w:rPr>
      <w:pict w14:anchorId="21330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6" o:spid="_x0000_s206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440F1F" w14:paraId="19EB7313" w14:textId="77777777" w:rsidTr="00641BD6">
      <w:trPr>
        <w:trHeight w:val="1247"/>
      </w:trPr>
      <w:tc>
        <w:tcPr>
          <w:tcW w:w="6520" w:type="dxa"/>
          <w:vAlign w:val="center"/>
        </w:tcPr>
        <w:p w14:paraId="5943CDBA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C83A01">
            <w:rPr>
              <w:sz w:val="32"/>
              <w:szCs w:val="32"/>
              <w:lang w:val="fr-FR"/>
            </w:rPr>
            <w:t>Presseinformation</w:t>
          </w:r>
          <w:proofErr w:type="spellEnd"/>
        </w:p>
        <w:p w14:paraId="19383F99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C83A01">
            <w:rPr>
              <w:sz w:val="32"/>
              <w:szCs w:val="32"/>
              <w:lang w:val="fr-FR"/>
            </w:rPr>
            <w:t>Press</w:t>
          </w:r>
          <w:proofErr w:type="spellEnd"/>
          <w:r w:rsidRPr="00C83A01">
            <w:rPr>
              <w:sz w:val="32"/>
              <w:szCs w:val="32"/>
              <w:lang w:val="fr-FR"/>
            </w:rPr>
            <w:t xml:space="preserve"> Release</w:t>
          </w:r>
        </w:p>
        <w:p w14:paraId="1DECA10F" w14:textId="77777777" w:rsidR="008769D7" w:rsidRPr="00C83A01" w:rsidRDefault="00B474C0" w:rsidP="00B474C0">
          <w:pPr>
            <w:rPr>
              <w:lang w:val="fr-FR"/>
            </w:rPr>
          </w:pPr>
          <w:r w:rsidRPr="00C83A01">
            <w:rPr>
              <w:sz w:val="32"/>
              <w:szCs w:val="32"/>
              <w:lang w:val="fr-FR"/>
            </w:rPr>
            <w:t>Communiqué de presse</w:t>
          </w:r>
        </w:p>
      </w:tc>
    </w:tr>
  </w:tbl>
  <w:p w14:paraId="78AA6356" w14:textId="77777777" w:rsidR="00EC50E2" w:rsidRPr="0005063A" w:rsidRDefault="00440F1F">
    <w:pPr>
      <w:pStyle w:val="Kopfzeile"/>
      <w:rPr>
        <w:lang w:val="en-GB"/>
      </w:rPr>
    </w:pPr>
    <w:r>
      <w:rPr>
        <w:noProof/>
        <w:lang w:val="en-GB"/>
      </w:rPr>
      <w:pict w14:anchorId="3DAC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7" o:spid="_x0000_s2063" type="#_x0000_t75" style="position:absolute;left:0;text-align:left;margin-left:0;margin-top:0;width:595.2pt;height:841.9pt;z-index:-251656192;mso-position-horizontal:absolute;mso-position-horizontal-relative:page;mso-position-vertical:absolute;mso-position-vertical-relative:page" o:allowincell="f">
          <v:imagedata r:id="rId1" o:title="Layout Marketing ID202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F86" w14:textId="77777777" w:rsidR="00EC50E2" w:rsidRDefault="00440F1F">
    <w:pPr>
      <w:pStyle w:val="Kopfzeile"/>
    </w:pPr>
    <w:r>
      <w:rPr>
        <w:noProof/>
      </w:rPr>
      <w:pict w14:anchorId="20C6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5" o:spid="_x0000_s2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6484">
    <w:abstractNumId w:val="1"/>
  </w:num>
  <w:num w:numId="2" w16cid:durableId="2018924950">
    <w:abstractNumId w:val="0"/>
  </w:num>
  <w:num w:numId="3" w16cid:durableId="517432704">
    <w:abstractNumId w:val="11"/>
  </w:num>
  <w:num w:numId="4" w16cid:durableId="72893658">
    <w:abstractNumId w:val="8"/>
  </w:num>
  <w:num w:numId="5" w16cid:durableId="1523475959">
    <w:abstractNumId w:val="10"/>
  </w:num>
  <w:num w:numId="6" w16cid:durableId="2050569008">
    <w:abstractNumId w:val="2"/>
  </w:num>
  <w:num w:numId="7" w16cid:durableId="893585620">
    <w:abstractNumId w:val="3"/>
  </w:num>
  <w:num w:numId="8" w16cid:durableId="460346488">
    <w:abstractNumId w:val="9"/>
  </w:num>
  <w:num w:numId="9" w16cid:durableId="416901925">
    <w:abstractNumId w:val="6"/>
  </w:num>
  <w:num w:numId="10" w16cid:durableId="1661730951">
    <w:abstractNumId w:val="4"/>
  </w:num>
  <w:num w:numId="11" w16cid:durableId="189150094">
    <w:abstractNumId w:val="7"/>
  </w:num>
  <w:num w:numId="12" w16cid:durableId="329717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4"/>
    <w:rsid w:val="00005F6C"/>
    <w:rsid w:val="0001400E"/>
    <w:rsid w:val="00015BFB"/>
    <w:rsid w:val="00033102"/>
    <w:rsid w:val="000358A3"/>
    <w:rsid w:val="0005063A"/>
    <w:rsid w:val="0006342D"/>
    <w:rsid w:val="000718E4"/>
    <w:rsid w:val="00074E00"/>
    <w:rsid w:val="00085248"/>
    <w:rsid w:val="00094934"/>
    <w:rsid w:val="000B51D7"/>
    <w:rsid w:val="00123E97"/>
    <w:rsid w:val="00185C60"/>
    <w:rsid w:val="001A365F"/>
    <w:rsid w:val="001B32F2"/>
    <w:rsid w:val="001C056E"/>
    <w:rsid w:val="001C1767"/>
    <w:rsid w:val="001D3219"/>
    <w:rsid w:val="001E7C4A"/>
    <w:rsid w:val="00211464"/>
    <w:rsid w:val="00243F71"/>
    <w:rsid w:val="00250EDF"/>
    <w:rsid w:val="0025402F"/>
    <w:rsid w:val="002652FB"/>
    <w:rsid w:val="00270A71"/>
    <w:rsid w:val="002810D9"/>
    <w:rsid w:val="00281446"/>
    <w:rsid w:val="0029172D"/>
    <w:rsid w:val="002968C9"/>
    <w:rsid w:val="002A4347"/>
    <w:rsid w:val="002A46DB"/>
    <w:rsid w:val="002C2FDD"/>
    <w:rsid w:val="002E2586"/>
    <w:rsid w:val="002F0F5B"/>
    <w:rsid w:val="003002A7"/>
    <w:rsid w:val="0032272F"/>
    <w:rsid w:val="00322C44"/>
    <w:rsid w:val="00366F73"/>
    <w:rsid w:val="003A048E"/>
    <w:rsid w:val="003A4100"/>
    <w:rsid w:val="003B2956"/>
    <w:rsid w:val="003B4662"/>
    <w:rsid w:val="003E2E48"/>
    <w:rsid w:val="00413D39"/>
    <w:rsid w:val="00431D17"/>
    <w:rsid w:val="00440F1F"/>
    <w:rsid w:val="00444323"/>
    <w:rsid w:val="004607D3"/>
    <w:rsid w:val="00460A60"/>
    <w:rsid w:val="004770D1"/>
    <w:rsid w:val="0048292E"/>
    <w:rsid w:val="004B39B9"/>
    <w:rsid w:val="004D1FB9"/>
    <w:rsid w:val="004D413B"/>
    <w:rsid w:val="004F07E4"/>
    <w:rsid w:val="004F6E87"/>
    <w:rsid w:val="005127F1"/>
    <w:rsid w:val="00533700"/>
    <w:rsid w:val="00563F0B"/>
    <w:rsid w:val="005655D4"/>
    <w:rsid w:val="00574819"/>
    <w:rsid w:val="00593AD5"/>
    <w:rsid w:val="005A12F8"/>
    <w:rsid w:val="005D089F"/>
    <w:rsid w:val="005F309D"/>
    <w:rsid w:val="00615825"/>
    <w:rsid w:val="00641BD6"/>
    <w:rsid w:val="00651B68"/>
    <w:rsid w:val="0066308A"/>
    <w:rsid w:val="006A1245"/>
    <w:rsid w:val="006B4590"/>
    <w:rsid w:val="006D6EB2"/>
    <w:rsid w:val="006E1FA6"/>
    <w:rsid w:val="00743B1D"/>
    <w:rsid w:val="00765779"/>
    <w:rsid w:val="007A46D5"/>
    <w:rsid w:val="007C5FC1"/>
    <w:rsid w:val="007C7958"/>
    <w:rsid w:val="00840AB0"/>
    <w:rsid w:val="00843F5C"/>
    <w:rsid w:val="00863453"/>
    <w:rsid w:val="008769D7"/>
    <w:rsid w:val="008E7BB9"/>
    <w:rsid w:val="00900442"/>
    <w:rsid w:val="009146BA"/>
    <w:rsid w:val="00981758"/>
    <w:rsid w:val="00994EEF"/>
    <w:rsid w:val="009A3AE4"/>
    <w:rsid w:val="009A7D3C"/>
    <w:rsid w:val="009B5843"/>
    <w:rsid w:val="009D11F7"/>
    <w:rsid w:val="009F1A2F"/>
    <w:rsid w:val="009F698F"/>
    <w:rsid w:val="00A046D1"/>
    <w:rsid w:val="00A371A2"/>
    <w:rsid w:val="00A5340A"/>
    <w:rsid w:val="00A6003E"/>
    <w:rsid w:val="00A80C3E"/>
    <w:rsid w:val="00A93D5A"/>
    <w:rsid w:val="00AC6F04"/>
    <w:rsid w:val="00AC7F18"/>
    <w:rsid w:val="00AD6E9C"/>
    <w:rsid w:val="00AD7EA2"/>
    <w:rsid w:val="00AE33A3"/>
    <w:rsid w:val="00B16E45"/>
    <w:rsid w:val="00B474C0"/>
    <w:rsid w:val="00B63B04"/>
    <w:rsid w:val="00B65863"/>
    <w:rsid w:val="00B91147"/>
    <w:rsid w:val="00B97DFC"/>
    <w:rsid w:val="00BC3F4F"/>
    <w:rsid w:val="00BF2B85"/>
    <w:rsid w:val="00BF7665"/>
    <w:rsid w:val="00C00A8D"/>
    <w:rsid w:val="00C57AA3"/>
    <w:rsid w:val="00C608DE"/>
    <w:rsid w:val="00C7630A"/>
    <w:rsid w:val="00C83A01"/>
    <w:rsid w:val="00CA0731"/>
    <w:rsid w:val="00CA75E9"/>
    <w:rsid w:val="00CB161D"/>
    <w:rsid w:val="00CB2B7A"/>
    <w:rsid w:val="00CC2094"/>
    <w:rsid w:val="00CC56CB"/>
    <w:rsid w:val="00D205F3"/>
    <w:rsid w:val="00D4467A"/>
    <w:rsid w:val="00D8501D"/>
    <w:rsid w:val="00DA67D4"/>
    <w:rsid w:val="00DB2E03"/>
    <w:rsid w:val="00DB5A64"/>
    <w:rsid w:val="00DE424D"/>
    <w:rsid w:val="00DE7998"/>
    <w:rsid w:val="00DF1BFF"/>
    <w:rsid w:val="00E028BF"/>
    <w:rsid w:val="00E21EF9"/>
    <w:rsid w:val="00E66686"/>
    <w:rsid w:val="00E72DBB"/>
    <w:rsid w:val="00E91F5A"/>
    <w:rsid w:val="00E91F5D"/>
    <w:rsid w:val="00EB6A5D"/>
    <w:rsid w:val="00EC10C1"/>
    <w:rsid w:val="00EC3932"/>
    <w:rsid w:val="00EC50E2"/>
    <w:rsid w:val="00EC5FCB"/>
    <w:rsid w:val="00ED117C"/>
    <w:rsid w:val="00EE01C7"/>
    <w:rsid w:val="00FA3C03"/>
    <w:rsid w:val="00FB638E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B57C5C6"/>
  <w15:chartTrackingRefBased/>
  <w15:docId w15:val="{13739CE1-4945-46ED-B7D7-FF2D9F5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5F3"/>
    <w:pPr>
      <w:jc w:val="both"/>
    </w:pPr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5F3"/>
    <w:pPr>
      <w:keepNext/>
      <w:keepLines/>
      <w:jc w:val="left"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05F3"/>
    <w:pPr>
      <w:keepNext/>
      <w:keepLines/>
      <w:spacing w:before="40" w:after="80"/>
      <w:jc w:val="left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D205F3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5F3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ett">
    <w:name w:val="Strong"/>
    <w:aliases w:val="Standard + (Latein) Arial,Rechts:  6 cm,Zeilenabstand:  Genau 16 pt"/>
    <w:qFormat/>
    <w:rsid w:val="00CA75E9"/>
    <w:rPr>
      <w:b/>
      <w:bCs/>
    </w:rPr>
  </w:style>
  <w:style w:type="paragraph" w:styleId="Textkrper3">
    <w:name w:val="Body Text 3"/>
    <w:basedOn w:val="Standard"/>
    <w:link w:val="Textkrper3Zchn"/>
    <w:rsid w:val="002968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968C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7</cp:revision>
  <dcterms:created xsi:type="dcterms:W3CDTF">2022-08-31T09:24:00Z</dcterms:created>
  <dcterms:modified xsi:type="dcterms:W3CDTF">2022-10-21T09:50:00Z</dcterms:modified>
</cp:coreProperties>
</file>