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2541" w14:textId="4044E089" w:rsidR="00B63B04" w:rsidRPr="000F2C90" w:rsidRDefault="00A56D30" w:rsidP="00B63B04">
      <w:pPr>
        <w:pStyle w:val="berschrift3"/>
      </w:pPr>
      <w:r>
        <w:t>Tube 2022 Düsseldorf: Halle 6 / Stand I20</w:t>
      </w:r>
    </w:p>
    <w:p w14:paraId="6B057971" w14:textId="15E4BC86" w:rsidR="006E4EF3" w:rsidRDefault="00A56D30" w:rsidP="006E4EF3">
      <w:pPr>
        <w:pStyle w:val="berschrift1"/>
      </w:pPr>
      <w:r>
        <w:t xml:space="preserve">Rohre einzeln und in Lagen sägen </w:t>
      </w:r>
    </w:p>
    <w:p w14:paraId="20987108" w14:textId="22172A94" w:rsidR="006E4EF3" w:rsidRDefault="006E4EF3" w:rsidP="006E4EF3">
      <w:pPr>
        <w:pStyle w:val="berschrift2"/>
      </w:pPr>
      <w:r>
        <w:t xml:space="preserve">Die </w:t>
      </w:r>
      <w:r w:rsidR="00A56D30">
        <w:t xml:space="preserve">schlanken und wirtschaftlichen Metallbandsägen der </w:t>
      </w:r>
      <w:r w:rsidR="00F67C50">
        <w:t>HBE </w:t>
      </w:r>
      <w:r>
        <w:t xml:space="preserve">Dynamic Baureihe </w:t>
      </w:r>
      <w:r w:rsidR="00A56D30">
        <w:t>eignen sich ideal zum Trennen von Rohren und Vierkantprofilen</w:t>
      </w:r>
    </w:p>
    <w:p w14:paraId="34F0990A" w14:textId="0CA497BC" w:rsidR="00A857C8" w:rsidRDefault="00A857C8" w:rsidP="000F2C90">
      <w:pPr>
        <w:spacing w:line="276" w:lineRule="auto"/>
      </w:pPr>
      <w:r w:rsidRPr="00A857C8">
        <w:t>Gerade im Stahlhandel und der Industrie werden an Sägemaschinen hohe Anforderungen gestellt: Präzise, leistungsstarke Sägeschnitte, häufig wechselnde Materialqualitäten und -</w:t>
      </w:r>
      <w:proofErr w:type="spellStart"/>
      <w:r w:rsidRPr="00A857C8">
        <w:t>querschnitte</w:t>
      </w:r>
      <w:proofErr w:type="spellEnd"/>
      <w:r w:rsidRPr="00A857C8">
        <w:t>, einfache Handhabung und Wartung sowie bedingungsloser Arbeitsschutz.</w:t>
      </w:r>
      <w:r>
        <w:t xml:space="preserve"> Der Bandsägeautomat HBE411A Dynamic bietet </w:t>
      </w:r>
      <w:r w:rsidR="00EE0604">
        <w:t xml:space="preserve">hierfür </w:t>
      </w:r>
      <w:r w:rsidR="006D14A6">
        <w:t xml:space="preserve">im Schnittbereich bis 510 x 410 mm </w:t>
      </w:r>
      <w:r w:rsidR="00EE0604">
        <w:t>ein überzeugendes Paket.</w:t>
      </w:r>
    </w:p>
    <w:p w14:paraId="3764A42D" w14:textId="7445B30E" w:rsidR="00EE0604" w:rsidRDefault="00C67EC3" w:rsidP="000F2C90">
      <w:pPr>
        <w:spacing w:line="276" w:lineRule="auto"/>
      </w:pPr>
      <w:r w:rsidRPr="00C67EC3">
        <w:t xml:space="preserve">Auffallend ist </w:t>
      </w:r>
      <w:r w:rsidR="00EE0604">
        <w:t xml:space="preserve">die serienmäßige Vorschubsteuerung </w:t>
      </w:r>
      <w:r w:rsidRPr="00C67EC3">
        <w:t>Auto-Feed-Control</w:t>
      </w:r>
      <w:r w:rsidR="00EE0604">
        <w:t xml:space="preserve"> (AFC)</w:t>
      </w:r>
      <w:r w:rsidR="000F33AC">
        <w:t>.</w:t>
      </w:r>
      <w:r w:rsidRPr="00C67EC3">
        <w:t xml:space="preserve"> </w:t>
      </w:r>
      <w:r w:rsidR="00D32722">
        <w:t>Die</w:t>
      </w:r>
      <w:r w:rsidR="000F33AC">
        <w:t xml:space="preserve"> Steuerungssoftware berechnet die</w:t>
      </w:r>
      <w:r w:rsidR="00D32722">
        <w:t xml:space="preserve"> optimalen Einstellungen für Schnittgeschwindigkeit und </w:t>
      </w:r>
      <w:proofErr w:type="spellStart"/>
      <w:r w:rsidR="00EE0604">
        <w:t>s</w:t>
      </w:r>
      <w:r w:rsidR="00D32722">
        <w:t>ervo</w:t>
      </w:r>
      <w:proofErr w:type="spellEnd"/>
      <w:r w:rsidR="00EE0604">
        <w:t>-</w:t>
      </w:r>
      <w:r w:rsidR="00D32722">
        <w:t>geregelte</w:t>
      </w:r>
      <w:r w:rsidR="00EE0604">
        <w:t>n</w:t>
      </w:r>
      <w:r w:rsidR="00D32722">
        <w:t xml:space="preserve"> Vorschub auf Basis </w:t>
      </w:r>
      <w:r w:rsidR="000F33AC">
        <w:t>von</w:t>
      </w:r>
      <w:r w:rsidR="00D32722">
        <w:t xml:space="preserve"> Werkstoffdaten, die </w:t>
      </w:r>
      <w:r w:rsidR="000F33AC">
        <w:t>von</w:t>
      </w:r>
      <w:r w:rsidR="00D32722">
        <w:t xml:space="preserve"> einer umfangreichen Materialdatenbank </w:t>
      </w:r>
      <w:r w:rsidR="000F33AC">
        <w:t>bereitgestellt</w:t>
      </w:r>
      <w:r w:rsidR="00D32722">
        <w:t xml:space="preserve"> werden.</w:t>
      </w:r>
    </w:p>
    <w:p w14:paraId="5D85DBC8" w14:textId="362D8D9A" w:rsidR="00C67EC3" w:rsidRPr="00C67EC3" w:rsidRDefault="00EE0604" w:rsidP="000F2C90">
      <w:pPr>
        <w:spacing w:line="276" w:lineRule="auto"/>
      </w:pPr>
      <w:r>
        <w:t xml:space="preserve">Beim Sägen werden die Schnittkräfte kontinuierlich am Sägebandrücken gemessen und der Vorschub entsprechend dynamisch geregelt. Dadurch wird das eingesetzte Sägeband effektiv vor Überbelastungen geschützt. </w:t>
      </w:r>
      <w:r w:rsidR="00C67EC3" w:rsidRPr="00C67EC3">
        <w:t>In Versuchen konnten um 30 Prozent höhere Standzeiten nachgewiesen werden und auch die Qualität der Schnittoberfläche war sichtbar besser.</w:t>
      </w:r>
      <w:r>
        <w:t xml:space="preserve"> </w:t>
      </w:r>
      <w:r w:rsidR="00C67EC3" w:rsidRPr="00C67EC3">
        <w:t>Die leichte Schrägstellung der Bandlaufräder trägt durch reduzierte Biege-Wechsel-Belastung ebenfalls zur Schonung der Sägebänder bei.</w:t>
      </w:r>
    </w:p>
    <w:p w14:paraId="734D646A" w14:textId="756B99D8" w:rsidR="00C67EC3" w:rsidRPr="00C67EC3" w:rsidRDefault="00C67EC3" w:rsidP="000F2C90">
      <w:pPr>
        <w:spacing w:line="276" w:lineRule="auto"/>
      </w:pPr>
      <w:r w:rsidRPr="00C67EC3">
        <w:t xml:space="preserve">Serienmäßig ist ebenfalls </w:t>
      </w:r>
      <w:r w:rsidR="00EE0604">
        <w:t>ein</w:t>
      </w:r>
      <w:r w:rsidRPr="00C67EC3">
        <w:t xml:space="preserve"> Doppelspannstock</w:t>
      </w:r>
      <w:r w:rsidR="00EE0604">
        <w:t xml:space="preserve">, der das Material auf beiden Seiten des </w:t>
      </w:r>
      <w:r w:rsidR="006D14A6">
        <w:t>Schnittkanals</w:t>
      </w:r>
      <w:r w:rsidR="00EE0604">
        <w:t xml:space="preserve"> sicher spannt. Dies begünstigt </w:t>
      </w:r>
      <w:r w:rsidR="00CB715C">
        <w:t xml:space="preserve">die Präzision des Sägeschnitts </w:t>
      </w:r>
      <w:r w:rsidR="00EE0604">
        <w:t>durch die bessere Ausrichtung des Materials</w:t>
      </w:r>
      <w:r w:rsidR="006D14A6">
        <w:t>.</w:t>
      </w:r>
      <w:r w:rsidR="00EE0604">
        <w:t xml:space="preserve"> </w:t>
      </w:r>
      <w:r w:rsidRPr="00C67EC3">
        <w:t xml:space="preserve">Insbesondere Materialbündel und </w:t>
      </w:r>
      <w:r w:rsidR="006D14A6">
        <w:t>Lagen</w:t>
      </w:r>
      <w:r w:rsidRPr="00C67EC3">
        <w:t>, aber auch dünnwandige Rohre werden so optimal fixiert.</w:t>
      </w:r>
    </w:p>
    <w:p w14:paraId="5B2B72EF" w14:textId="2C07DB4E" w:rsidR="00C67EC3" w:rsidRPr="00C67EC3" w:rsidRDefault="00C67EC3" w:rsidP="00C67EC3">
      <w:pPr>
        <w:pStyle w:val="berschrift2"/>
      </w:pPr>
      <w:r>
        <w:t>Es kommt nicht auf die kW-</w:t>
      </w:r>
      <w:r w:rsidR="00CB715C">
        <w:t>Leistung</w:t>
      </w:r>
      <w:r>
        <w:t xml:space="preserve"> des Motors an</w:t>
      </w:r>
    </w:p>
    <w:p w14:paraId="3ED90491" w14:textId="311D43E2" w:rsidR="00867F24" w:rsidRDefault="00867F24" w:rsidP="000F2C90">
      <w:pPr>
        <w:spacing w:line="276" w:lineRule="auto"/>
      </w:pPr>
      <w:r>
        <w:t>Seit Jahren steigende Energiepreise führen zu einem Umdenken in den Unternehmen. Technologische Innovationen und Lösungen werden gesucht, um dennoch mit weniger Energieeinsatz mehr Leistung zu erzielen.</w:t>
      </w:r>
    </w:p>
    <w:p w14:paraId="2D8E67FF" w14:textId="2FA6725A" w:rsidR="003B4662" w:rsidRDefault="00E171B4" w:rsidP="000F2C90">
      <w:pPr>
        <w:spacing w:line="276" w:lineRule="auto"/>
      </w:pPr>
      <w:r>
        <w:t>Das Augenmerk bei der Konzeption der HBE</w:t>
      </w:r>
      <w:r w:rsidR="00F70E25">
        <w:t> </w:t>
      </w:r>
      <w:r>
        <w:t>Dynamic Baureihe lag auf dem Einsatz moderner und anwendungsgerechter Antriebe. Eine leistungsfähige Hydraulik steht keineswegs im Gegensatz zur Energieeffizien</w:t>
      </w:r>
      <w:r w:rsidR="006D14A6">
        <w:t>z</w:t>
      </w:r>
      <w:r>
        <w:t xml:space="preserve">, denn im </w:t>
      </w:r>
      <w:r>
        <w:lastRenderedPageBreak/>
        <w:t>Vergleich zum Vorgängermodell konnte der Energiebedarf um über 30</w:t>
      </w:r>
      <w:r w:rsidR="00F70E25">
        <w:t> Prozent</w:t>
      </w:r>
      <w:r>
        <w:t xml:space="preserve"> reduziert werden.</w:t>
      </w:r>
    </w:p>
    <w:p w14:paraId="0F06BBC9" w14:textId="59F9C38D" w:rsidR="00867F24" w:rsidRDefault="00781860" w:rsidP="00781860">
      <w:pPr>
        <w:pStyle w:val="berschrift2"/>
      </w:pPr>
      <w:r>
        <w:t>Funktional und sicher</w:t>
      </w:r>
    </w:p>
    <w:p w14:paraId="20367AF8" w14:textId="2D4C2C1A" w:rsidR="00781860" w:rsidRPr="00781860" w:rsidRDefault="00781860" w:rsidP="000F2C90">
      <w:pPr>
        <w:spacing w:line="276" w:lineRule="auto"/>
      </w:pPr>
      <w:r w:rsidRPr="00781860">
        <w:t xml:space="preserve">Durch die Vollverkleidung der </w:t>
      </w:r>
      <w:r w:rsidR="006D14A6">
        <w:t>HBE411A Dynamic</w:t>
      </w:r>
      <w:r w:rsidRPr="00781860">
        <w:t xml:space="preserve"> werden nicht nur aktuelle CE-Richtlinien erfüllt, sondern auch den wachsenden Anforderungen nach Bedienerfreundlichkeit und Arbeits- sowie Umweltschutz Rechnung getragen. Die Vorteile liegen auf der Hand: Keine Verschmutzung des Arbeitsumfelds</w:t>
      </w:r>
      <w:r w:rsidR="002D19E4">
        <w:t xml:space="preserve"> und</w:t>
      </w:r>
      <w:r w:rsidRPr="00781860">
        <w:t xml:space="preserve"> Geräuschminderung bei gleichzeitig </w:t>
      </w:r>
      <w:r w:rsidR="002D19E4">
        <w:t>guter</w:t>
      </w:r>
      <w:r w:rsidRPr="00781860">
        <w:t xml:space="preserve"> Einsicht in die</w:t>
      </w:r>
      <w:r w:rsidR="002D19E4">
        <w:t xml:space="preserve"> Bandsäge</w:t>
      </w:r>
      <w:r w:rsidRPr="00781860">
        <w:t xml:space="preserve"> dank großer Sichtfenster. Das wartungsfreundliche Konzept ermöglicht einen einfachen Sägebandwechsel und gute Zugänglichkeit für Instandhaltungs- oder Reinigungsarbeiten.</w:t>
      </w:r>
    </w:p>
    <w:p w14:paraId="5525DB8D" w14:textId="311DBBE6" w:rsidR="00781860" w:rsidRDefault="00FD5727" w:rsidP="000F2C90">
      <w:pPr>
        <w:spacing w:line="276" w:lineRule="auto"/>
      </w:pPr>
      <w:r w:rsidRPr="00C67EC3">
        <w:t>Die HBE</w:t>
      </w:r>
      <w:r w:rsidR="00FE0B0B">
        <w:t> </w:t>
      </w:r>
      <w:r w:rsidRPr="00C67EC3">
        <w:t xml:space="preserve">Dynamic Baureihe ist in vier Modelltypen 261A, 321A, 411A und 511A mit entsprechendem Schnittbereich erhältlich und deckt damit ein umfangreiches Anwendungsfeld in </w:t>
      </w:r>
      <w:r w:rsidR="006D14A6">
        <w:t xml:space="preserve">Industrie und </w:t>
      </w:r>
      <w:r w:rsidRPr="00C67EC3">
        <w:t>Stahlhandel</w:t>
      </w:r>
      <w:r w:rsidR="006D14A6">
        <w:t xml:space="preserve"> ab.</w:t>
      </w:r>
    </w:p>
    <w:p w14:paraId="211F8D5F" w14:textId="527F4084" w:rsidR="00FE0B0B" w:rsidRDefault="00FE0B0B" w:rsidP="00C67EC3"/>
    <w:p w14:paraId="76DADAF8" w14:textId="450F6630" w:rsidR="00FE0B0B" w:rsidRDefault="00FE0B0B" w:rsidP="00C67EC3"/>
    <w:p w14:paraId="7AD01048" w14:textId="21967A7F" w:rsidR="00FE0B0B" w:rsidRDefault="00FE0B0B" w:rsidP="00FE0B0B">
      <w:pPr>
        <w:pStyle w:val="berschrift1"/>
      </w:pPr>
      <w:r>
        <w:t>Bildunterschriften: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1"/>
        <w:gridCol w:w="3822"/>
      </w:tblGrid>
      <w:tr w:rsidR="00FE0B0B" w14:paraId="3508F234" w14:textId="77777777" w:rsidTr="006F36BF">
        <w:tc>
          <w:tcPr>
            <w:tcW w:w="3821" w:type="dxa"/>
            <w:vAlign w:val="center"/>
          </w:tcPr>
          <w:p w14:paraId="15D14539" w14:textId="36F93B4E" w:rsidR="00FE0B0B" w:rsidRDefault="00FE0B0B" w:rsidP="006F36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772AD4" wp14:editId="21F34829">
                  <wp:simplePos x="791570" y="5036024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160000" cy="1758724"/>
                  <wp:effectExtent l="0" t="0" r="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75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2" w:type="dxa"/>
            <w:vAlign w:val="center"/>
          </w:tcPr>
          <w:p w14:paraId="18594DC3" w14:textId="41EBF547" w:rsidR="00FE0B0B" w:rsidRDefault="00FE0B0B" w:rsidP="006F36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2D70FF" wp14:editId="25FE0247">
                  <wp:simplePos x="3220872" y="503602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60000" cy="1360548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36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0B0B" w14:paraId="5789E10F" w14:textId="77777777" w:rsidTr="00FE0B0B">
        <w:tc>
          <w:tcPr>
            <w:tcW w:w="3821" w:type="dxa"/>
          </w:tcPr>
          <w:p w14:paraId="33408FDB" w14:textId="0B6FD033" w:rsidR="00FE0B0B" w:rsidRDefault="00FE0B0B" w:rsidP="00FE0B0B">
            <w:pPr>
              <w:jc w:val="left"/>
            </w:pPr>
            <w:r>
              <w:t>Bandsägeautomat HBE411A Dynamic</w:t>
            </w:r>
            <w:r w:rsidR="00B53F1E">
              <w:t xml:space="preserve"> für universelle Anwendungen in Stahlhandel und Industrie</w:t>
            </w:r>
          </w:p>
        </w:tc>
        <w:tc>
          <w:tcPr>
            <w:tcW w:w="3822" w:type="dxa"/>
          </w:tcPr>
          <w:p w14:paraId="4EDB8BAA" w14:textId="5BA82963" w:rsidR="00FE0B0B" w:rsidRDefault="00FE0B0B" w:rsidP="00FE0B0B">
            <w:pPr>
              <w:jc w:val="left"/>
            </w:pPr>
            <w:r>
              <w:t xml:space="preserve">Ein Doppelspannstock bietet Prozesssicherheit – gerade </w:t>
            </w:r>
            <w:r w:rsidR="002D19E4">
              <w:t xml:space="preserve">bei </w:t>
            </w:r>
            <w:r>
              <w:t>Einzelschnitt</w:t>
            </w:r>
            <w:r w:rsidR="002D19E4">
              <w:t>en</w:t>
            </w:r>
            <w:r>
              <w:t xml:space="preserve"> oder beim Sägen von </w:t>
            </w:r>
            <w:r w:rsidR="00910C9C">
              <w:t xml:space="preserve">Lagen und </w:t>
            </w:r>
            <w:r>
              <w:t>Paketen.</w:t>
            </w:r>
          </w:p>
        </w:tc>
      </w:tr>
    </w:tbl>
    <w:p w14:paraId="24E62584" w14:textId="0BECEFC2" w:rsidR="00FE0B0B" w:rsidRDefault="00FE0B0B" w:rsidP="00C67EC3"/>
    <w:sectPr w:rsidR="00FE0B0B" w:rsidSect="00840AB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438" w:right="311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8CD0" w14:textId="77777777" w:rsidR="00A4282E" w:rsidRDefault="00A4282E" w:rsidP="00EC50E2">
      <w:pPr>
        <w:spacing w:after="0" w:line="240" w:lineRule="auto"/>
      </w:pPr>
      <w:r>
        <w:separator/>
      </w:r>
    </w:p>
  </w:endnote>
  <w:endnote w:type="continuationSeparator" w:id="0">
    <w:p w14:paraId="7520BCAE" w14:textId="77777777" w:rsidR="00A4282E" w:rsidRDefault="00A4282E" w:rsidP="00EC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DINPro-Medium">
    <w:panose1 w:val="020B06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page" w:tblpX="7939" w:tblpY="181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1"/>
    </w:tblGrid>
    <w:tr w:rsidR="008769D7" w14:paraId="35965D15" w14:textId="77777777" w:rsidTr="008769D7">
      <w:tc>
        <w:tcPr>
          <w:tcW w:w="3681" w:type="dxa"/>
        </w:tcPr>
        <w:p w14:paraId="51A80360" w14:textId="4FE12228" w:rsidR="008769D7" w:rsidRDefault="008769D7" w:rsidP="008769D7">
          <w:pPr>
            <w:pStyle w:val="Fuzeile"/>
            <w:jc w:val="right"/>
          </w:pPr>
          <w:r>
            <w:t>Kirchardt</w:t>
          </w:r>
          <w:r w:rsidR="00A56D30">
            <w:t xml:space="preserve">, Juni </w:t>
          </w:r>
          <w:r w:rsidR="00615825">
            <w:t>202</w:t>
          </w:r>
          <w:r w:rsidR="00A56D30">
            <w:t>2</w:t>
          </w:r>
        </w:p>
      </w:tc>
    </w:tr>
  </w:tbl>
  <w:p w14:paraId="647DB4FC" w14:textId="77777777" w:rsidR="008769D7" w:rsidRDefault="008769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1EFB" w14:textId="77777777" w:rsidR="00A4282E" w:rsidRDefault="00A4282E" w:rsidP="00EC50E2">
      <w:pPr>
        <w:spacing w:after="0" w:line="240" w:lineRule="auto"/>
      </w:pPr>
      <w:r>
        <w:separator/>
      </w:r>
    </w:p>
  </w:footnote>
  <w:footnote w:type="continuationSeparator" w:id="0">
    <w:p w14:paraId="4356DE06" w14:textId="77777777" w:rsidR="00A4282E" w:rsidRDefault="00A4282E" w:rsidP="00EC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86EA" w14:textId="77777777" w:rsidR="00EC50E2" w:rsidRDefault="00910C9C">
    <w:pPr>
      <w:pStyle w:val="Kopfzeile"/>
    </w:pPr>
    <w:r>
      <w:rPr>
        <w:noProof/>
      </w:rPr>
      <w:pict w14:anchorId="21330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0016" o:spid="_x0000_s2062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Layout Marketing ID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page" w:tblpX="1135" w:tblpY="28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0"/>
    </w:tblGrid>
    <w:tr w:rsidR="008769D7" w:rsidRPr="00A56D30" w14:paraId="19EB7313" w14:textId="77777777" w:rsidTr="00641BD6">
      <w:trPr>
        <w:trHeight w:val="1247"/>
      </w:trPr>
      <w:tc>
        <w:tcPr>
          <w:tcW w:w="6520" w:type="dxa"/>
          <w:vAlign w:val="center"/>
        </w:tcPr>
        <w:p w14:paraId="5943CDBA" w14:textId="77777777" w:rsidR="00B474C0" w:rsidRPr="00C16B3D" w:rsidRDefault="00B474C0" w:rsidP="00B474C0">
          <w:pPr>
            <w:rPr>
              <w:sz w:val="32"/>
              <w:szCs w:val="32"/>
              <w:lang w:val="fr-FR"/>
            </w:rPr>
          </w:pPr>
          <w:proofErr w:type="spellStart"/>
          <w:r w:rsidRPr="00C16B3D">
            <w:rPr>
              <w:sz w:val="32"/>
              <w:szCs w:val="32"/>
              <w:lang w:val="fr-FR"/>
            </w:rPr>
            <w:t>Presseinformation</w:t>
          </w:r>
          <w:proofErr w:type="spellEnd"/>
        </w:p>
        <w:p w14:paraId="19383F99" w14:textId="77777777" w:rsidR="00B474C0" w:rsidRPr="00C16B3D" w:rsidRDefault="00B474C0" w:rsidP="00B474C0">
          <w:pPr>
            <w:rPr>
              <w:sz w:val="32"/>
              <w:szCs w:val="32"/>
              <w:lang w:val="fr-FR"/>
            </w:rPr>
          </w:pPr>
          <w:proofErr w:type="spellStart"/>
          <w:r w:rsidRPr="00C16B3D">
            <w:rPr>
              <w:sz w:val="32"/>
              <w:szCs w:val="32"/>
              <w:lang w:val="fr-FR"/>
            </w:rPr>
            <w:t>Press</w:t>
          </w:r>
          <w:proofErr w:type="spellEnd"/>
          <w:r w:rsidRPr="00C16B3D">
            <w:rPr>
              <w:sz w:val="32"/>
              <w:szCs w:val="32"/>
              <w:lang w:val="fr-FR"/>
            </w:rPr>
            <w:t xml:space="preserve"> Release</w:t>
          </w:r>
        </w:p>
        <w:p w14:paraId="1DECA10F" w14:textId="77777777" w:rsidR="008769D7" w:rsidRPr="00C16B3D" w:rsidRDefault="00B474C0" w:rsidP="00B474C0">
          <w:pPr>
            <w:rPr>
              <w:lang w:val="fr-FR"/>
            </w:rPr>
          </w:pPr>
          <w:r w:rsidRPr="00C16B3D">
            <w:rPr>
              <w:sz w:val="32"/>
              <w:szCs w:val="32"/>
              <w:lang w:val="fr-FR"/>
            </w:rPr>
            <w:t>Communiqué de presse</w:t>
          </w:r>
        </w:p>
      </w:tc>
    </w:tr>
  </w:tbl>
  <w:p w14:paraId="78AA6356" w14:textId="77777777" w:rsidR="00EC50E2" w:rsidRPr="0005063A" w:rsidRDefault="00910C9C">
    <w:pPr>
      <w:pStyle w:val="Kopfzeile"/>
      <w:rPr>
        <w:lang w:val="en-GB"/>
      </w:rPr>
    </w:pPr>
    <w:r>
      <w:rPr>
        <w:noProof/>
        <w:lang w:val="en-GB"/>
      </w:rPr>
      <w:pict w14:anchorId="3DAC9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0017" o:spid="_x0000_s2063" type="#_x0000_t75" style="position:absolute;left:0;text-align:left;margin-left:0;margin-top:0;width:595.2pt;height:841.9pt;z-index:-251656192;mso-position-horizontal:absolute;mso-position-horizontal-relative:page;mso-position-vertical:absolute;mso-position-vertical-relative:page" o:allowincell="f">
          <v:imagedata r:id="rId1" o:title="Layout Marketing ID202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FF86" w14:textId="77777777" w:rsidR="00EC50E2" w:rsidRDefault="00910C9C">
    <w:pPr>
      <w:pStyle w:val="Kopfzeile"/>
    </w:pPr>
    <w:r>
      <w:rPr>
        <w:noProof/>
      </w:rPr>
      <w:pict w14:anchorId="20C61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0015" o:spid="_x0000_s206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Layout Marketing ID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DA7"/>
    <w:multiLevelType w:val="hybridMultilevel"/>
    <w:tmpl w:val="A7C6F6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A479D"/>
    <w:multiLevelType w:val="hybridMultilevel"/>
    <w:tmpl w:val="436CDC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437E"/>
    <w:multiLevelType w:val="hybridMultilevel"/>
    <w:tmpl w:val="DC7AE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4DE4"/>
    <w:multiLevelType w:val="hybridMultilevel"/>
    <w:tmpl w:val="B7F4B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B2E6B"/>
    <w:multiLevelType w:val="hybridMultilevel"/>
    <w:tmpl w:val="E8CA2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392A"/>
    <w:multiLevelType w:val="hybridMultilevel"/>
    <w:tmpl w:val="76F89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25D6"/>
    <w:multiLevelType w:val="hybridMultilevel"/>
    <w:tmpl w:val="8536F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0805"/>
    <w:multiLevelType w:val="hybridMultilevel"/>
    <w:tmpl w:val="BA9E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5DD2"/>
    <w:multiLevelType w:val="hybridMultilevel"/>
    <w:tmpl w:val="2FAC2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63F92"/>
    <w:multiLevelType w:val="hybridMultilevel"/>
    <w:tmpl w:val="E9B08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D28B9"/>
    <w:multiLevelType w:val="hybridMultilevel"/>
    <w:tmpl w:val="1C762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D54D1"/>
    <w:multiLevelType w:val="hybridMultilevel"/>
    <w:tmpl w:val="306E5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04"/>
    <w:rsid w:val="00033102"/>
    <w:rsid w:val="0005063A"/>
    <w:rsid w:val="00094934"/>
    <w:rsid w:val="000F2C90"/>
    <w:rsid w:val="000F33AC"/>
    <w:rsid w:val="001B32F2"/>
    <w:rsid w:val="001C1767"/>
    <w:rsid w:val="001E7C4A"/>
    <w:rsid w:val="00211464"/>
    <w:rsid w:val="00243F71"/>
    <w:rsid w:val="00250EDF"/>
    <w:rsid w:val="002652FB"/>
    <w:rsid w:val="00270A71"/>
    <w:rsid w:val="00281446"/>
    <w:rsid w:val="002968C9"/>
    <w:rsid w:val="002A4347"/>
    <w:rsid w:val="002A46DB"/>
    <w:rsid w:val="002D19E4"/>
    <w:rsid w:val="002E2586"/>
    <w:rsid w:val="002F0F5B"/>
    <w:rsid w:val="003002A7"/>
    <w:rsid w:val="0032272F"/>
    <w:rsid w:val="00322C44"/>
    <w:rsid w:val="00366F73"/>
    <w:rsid w:val="003A048E"/>
    <w:rsid w:val="003B2956"/>
    <w:rsid w:val="003B4662"/>
    <w:rsid w:val="00431D17"/>
    <w:rsid w:val="004770D1"/>
    <w:rsid w:val="004D413B"/>
    <w:rsid w:val="00533700"/>
    <w:rsid w:val="00574819"/>
    <w:rsid w:val="00593AD5"/>
    <w:rsid w:val="005D089F"/>
    <w:rsid w:val="00615825"/>
    <w:rsid w:val="00641BD6"/>
    <w:rsid w:val="00645CF8"/>
    <w:rsid w:val="00651B68"/>
    <w:rsid w:val="006A1245"/>
    <w:rsid w:val="006D14A6"/>
    <w:rsid w:val="006E4EF3"/>
    <w:rsid w:val="006F36BF"/>
    <w:rsid w:val="00743B1D"/>
    <w:rsid w:val="00781860"/>
    <w:rsid w:val="007C7958"/>
    <w:rsid w:val="00840AB0"/>
    <w:rsid w:val="00843F5C"/>
    <w:rsid w:val="00867F24"/>
    <w:rsid w:val="008769D7"/>
    <w:rsid w:val="008E7A30"/>
    <w:rsid w:val="00910C9C"/>
    <w:rsid w:val="00981758"/>
    <w:rsid w:val="009A3AE4"/>
    <w:rsid w:val="00A371A2"/>
    <w:rsid w:val="00A4282E"/>
    <w:rsid w:val="00A52935"/>
    <w:rsid w:val="00A56D30"/>
    <w:rsid w:val="00A6003E"/>
    <w:rsid w:val="00A857C8"/>
    <w:rsid w:val="00A93D5A"/>
    <w:rsid w:val="00AC6F04"/>
    <w:rsid w:val="00AD6E9C"/>
    <w:rsid w:val="00AD7EA2"/>
    <w:rsid w:val="00B474C0"/>
    <w:rsid w:val="00B53F1E"/>
    <w:rsid w:val="00B63B04"/>
    <w:rsid w:val="00B91147"/>
    <w:rsid w:val="00B97DFC"/>
    <w:rsid w:val="00BF2B85"/>
    <w:rsid w:val="00BF7665"/>
    <w:rsid w:val="00C16B3D"/>
    <w:rsid w:val="00C608DE"/>
    <w:rsid w:val="00C67EC3"/>
    <w:rsid w:val="00C7630A"/>
    <w:rsid w:val="00CA0731"/>
    <w:rsid w:val="00CA75E9"/>
    <w:rsid w:val="00CB161D"/>
    <w:rsid w:val="00CB2B7A"/>
    <w:rsid w:val="00CB715C"/>
    <w:rsid w:val="00CC2094"/>
    <w:rsid w:val="00D205F3"/>
    <w:rsid w:val="00D245A0"/>
    <w:rsid w:val="00D32722"/>
    <w:rsid w:val="00D4467A"/>
    <w:rsid w:val="00D8501D"/>
    <w:rsid w:val="00DB5A64"/>
    <w:rsid w:val="00DE424D"/>
    <w:rsid w:val="00DF1BFF"/>
    <w:rsid w:val="00E171B4"/>
    <w:rsid w:val="00E21EF9"/>
    <w:rsid w:val="00E66686"/>
    <w:rsid w:val="00E91F5A"/>
    <w:rsid w:val="00EC10C1"/>
    <w:rsid w:val="00EC50E2"/>
    <w:rsid w:val="00EC5FCB"/>
    <w:rsid w:val="00EE0604"/>
    <w:rsid w:val="00F02930"/>
    <w:rsid w:val="00F67C50"/>
    <w:rsid w:val="00F70E25"/>
    <w:rsid w:val="00FB638E"/>
    <w:rsid w:val="00FD5727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B57C5C6"/>
  <w15:chartTrackingRefBased/>
  <w15:docId w15:val="{13739CE1-4945-46ED-B7D7-FF2D9F5E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05F3"/>
    <w:pPr>
      <w:jc w:val="both"/>
    </w:pPr>
    <w:rPr>
      <w:rFonts w:ascii="DINPro" w:hAnsi="DIN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05F3"/>
    <w:pPr>
      <w:keepNext/>
      <w:keepLines/>
      <w:jc w:val="left"/>
      <w:outlineLvl w:val="0"/>
    </w:pPr>
    <w:rPr>
      <w:rFonts w:ascii="DINPro-Medium" w:eastAsiaTheme="majorEastAsia" w:hAnsi="DINPro-Medium" w:cstheme="majorBidi"/>
      <w:color w:val="952C4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05F3"/>
    <w:pPr>
      <w:keepNext/>
      <w:keepLines/>
      <w:spacing w:before="40" w:after="80"/>
      <w:jc w:val="left"/>
      <w:outlineLvl w:val="1"/>
    </w:pPr>
    <w:rPr>
      <w:rFonts w:ascii="DINPro-Medium" w:eastAsiaTheme="majorEastAsia" w:hAnsi="DINPro-Medium" w:cstheme="majorBidi"/>
      <w:color w:val="428F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371A2"/>
    <w:pPr>
      <w:keepNext/>
      <w:keepLines/>
      <w:spacing w:before="40" w:after="40"/>
      <w:outlineLvl w:val="2"/>
    </w:pPr>
    <w:rPr>
      <w:rFonts w:ascii="DINPro-Medium" w:eastAsiaTheme="majorEastAsia" w:hAnsi="DINPro-Medium" w:cstheme="majorBidi"/>
      <w:color w:val="65707A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50E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B7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50E2"/>
  </w:style>
  <w:style w:type="paragraph" w:styleId="Fuzeile">
    <w:name w:val="footer"/>
    <w:basedOn w:val="Standard"/>
    <w:link w:val="FuzeileZchn"/>
    <w:uiPriority w:val="99"/>
    <w:unhideWhenUsed/>
    <w:rsid w:val="00EC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50E2"/>
  </w:style>
  <w:style w:type="character" w:customStyle="1" w:styleId="berschrift1Zchn">
    <w:name w:val="Überschrift 1 Zchn"/>
    <w:basedOn w:val="Absatz-Standardschriftart"/>
    <w:link w:val="berschrift1"/>
    <w:uiPriority w:val="9"/>
    <w:rsid w:val="00D205F3"/>
    <w:rPr>
      <w:rFonts w:ascii="DINPro-Medium" w:eastAsiaTheme="majorEastAsia" w:hAnsi="DINPro-Medium" w:cstheme="majorBidi"/>
      <w:color w:val="952C4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05F3"/>
    <w:rPr>
      <w:rFonts w:ascii="DINPro-Medium" w:eastAsiaTheme="majorEastAsia" w:hAnsi="DINPro-Medium" w:cstheme="majorBidi"/>
      <w:color w:val="428FB3"/>
      <w:sz w:val="26"/>
      <w:szCs w:val="26"/>
    </w:rPr>
  </w:style>
  <w:style w:type="paragraph" w:styleId="KeinLeerraum">
    <w:name w:val="No Spacing"/>
    <w:uiPriority w:val="1"/>
    <w:qFormat/>
    <w:rsid w:val="00CB161D"/>
    <w:pPr>
      <w:spacing w:after="0" w:line="240" w:lineRule="auto"/>
    </w:pPr>
    <w:rPr>
      <w:rFonts w:ascii="DINPro" w:hAnsi="DINPro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0ED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0EDF"/>
    <w:rPr>
      <w:rFonts w:eastAsiaTheme="minorEastAsia"/>
      <w:color w:val="5A5A5A" w:themeColor="text1" w:themeTint="A5"/>
      <w:spacing w:val="1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71A2"/>
    <w:rPr>
      <w:rFonts w:ascii="DINPro-Medium" w:eastAsiaTheme="majorEastAsia" w:hAnsi="DINPro-Medium" w:cstheme="majorBidi"/>
      <w:color w:val="65707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0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rsid w:val="00250EDF"/>
    <w:rPr>
      <w:color w:val="0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0ED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5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B474C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Fett">
    <w:name w:val="Strong"/>
    <w:aliases w:val="Standard + (Latein) Arial,Rechts:  6 cm,Zeilenabstand:  Genau 16 pt"/>
    <w:qFormat/>
    <w:rsid w:val="00CA75E9"/>
    <w:rPr>
      <w:b/>
      <w:bCs/>
    </w:rPr>
  </w:style>
  <w:style w:type="paragraph" w:styleId="Textkrper3">
    <w:name w:val="Body Text 3"/>
    <w:basedOn w:val="Standard"/>
    <w:link w:val="Textkrper3Zchn"/>
    <w:rsid w:val="002968C9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2968C9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5A24-5858-4A8E-8D13-A1D66F6A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Vierling Jana</dc:creator>
  <cp:keywords/>
  <dc:description/>
  <cp:lastModifiedBy>Vierling Jana</cp:lastModifiedBy>
  <cp:revision>16</cp:revision>
  <cp:lastPrinted>2021-09-27T13:34:00Z</cp:lastPrinted>
  <dcterms:created xsi:type="dcterms:W3CDTF">2021-09-15T12:42:00Z</dcterms:created>
  <dcterms:modified xsi:type="dcterms:W3CDTF">2022-06-20T12:03:00Z</dcterms:modified>
</cp:coreProperties>
</file>